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D5B8E" w14:textId="77777777" w:rsidR="00A96EFC" w:rsidRPr="00A96EFC" w:rsidRDefault="00A96EFC" w:rsidP="00A96EF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96EFC">
        <w:rPr>
          <w:rFonts w:ascii="Times New Roman" w:eastAsia="Times New Roman" w:hAnsi="Times New Roman" w:cs="Times New Roman"/>
          <w:b/>
          <w:bCs/>
          <w:kern w:val="36"/>
          <w:sz w:val="48"/>
          <w:szCs w:val="48"/>
        </w:rPr>
        <w:t>Grading System</w:t>
      </w:r>
    </w:p>
    <w:p w14:paraId="4A3E4FD2" w14:textId="77777777" w:rsidR="00A96EFC" w:rsidRPr="00A96EFC" w:rsidRDefault="00A96EFC" w:rsidP="00A96EFC">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anchor="GRADE" w:history="1">
        <w:r w:rsidRPr="00A96EFC">
          <w:rPr>
            <w:rFonts w:ascii="Times New Roman" w:eastAsia="Times New Roman" w:hAnsi="Times New Roman" w:cs="Times New Roman"/>
            <w:color w:val="0000FF"/>
            <w:sz w:val="24"/>
            <w:szCs w:val="24"/>
            <w:u w:val="single"/>
          </w:rPr>
          <w:t>Standard Grading System</w:t>
        </w:r>
      </w:hyperlink>
    </w:p>
    <w:p w14:paraId="5389013B" w14:textId="77777777" w:rsidR="00A96EFC" w:rsidRPr="00A96EFC" w:rsidRDefault="00A96EFC" w:rsidP="00A96EFC">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anchor="NONGRADE" w:history="1">
        <w:r w:rsidRPr="00A96EFC">
          <w:rPr>
            <w:rFonts w:ascii="Times New Roman" w:eastAsia="Times New Roman" w:hAnsi="Times New Roman" w:cs="Times New Roman"/>
            <w:color w:val="0000FF"/>
            <w:sz w:val="24"/>
            <w:szCs w:val="24"/>
            <w:u w:val="single"/>
          </w:rPr>
          <w:t>Nontraditional Grading Options</w:t>
        </w:r>
      </w:hyperlink>
    </w:p>
    <w:p w14:paraId="4A011B63" w14:textId="77777777" w:rsidR="00A96EFC" w:rsidRPr="00A96EFC" w:rsidRDefault="00A96EFC" w:rsidP="00A96EFC">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anchor="GPA" w:history="1">
        <w:r w:rsidRPr="00A96EFC">
          <w:rPr>
            <w:rFonts w:ascii="Times New Roman" w:eastAsia="Times New Roman" w:hAnsi="Times New Roman" w:cs="Times New Roman"/>
            <w:color w:val="0000FF"/>
            <w:sz w:val="24"/>
            <w:szCs w:val="24"/>
            <w:u w:val="single"/>
          </w:rPr>
          <w:t>Grade Point Average (GPA)</w:t>
        </w:r>
      </w:hyperlink>
    </w:p>
    <w:p w14:paraId="27846E79" w14:textId="77777777" w:rsidR="00A96EFC" w:rsidRPr="00A96EFC" w:rsidRDefault="00A96EFC" w:rsidP="00A96EFC">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anchor="REPEAT" w:history="1">
        <w:r w:rsidRPr="00A96EFC">
          <w:rPr>
            <w:rFonts w:ascii="Times New Roman" w:eastAsia="Times New Roman" w:hAnsi="Times New Roman" w:cs="Times New Roman"/>
            <w:color w:val="0000FF"/>
            <w:sz w:val="24"/>
            <w:szCs w:val="24"/>
            <w:u w:val="single"/>
          </w:rPr>
          <w:t>Repeating Courses</w:t>
        </w:r>
      </w:hyperlink>
    </w:p>
    <w:p w14:paraId="1E8ED2B4" w14:textId="77777777" w:rsidR="00A96EFC" w:rsidRPr="00A96EFC" w:rsidRDefault="00A96EFC" w:rsidP="00A96EFC">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anchor="GRADING" w:history="1">
        <w:r w:rsidRPr="00A96EFC">
          <w:rPr>
            <w:rFonts w:ascii="Times New Roman" w:eastAsia="Times New Roman" w:hAnsi="Times New Roman" w:cs="Times New Roman"/>
            <w:color w:val="0000FF"/>
            <w:sz w:val="24"/>
            <w:szCs w:val="24"/>
            <w:u w:val="single"/>
          </w:rPr>
          <w:t>Grading Procedures</w:t>
        </w:r>
      </w:hyperlink>
    </w:p>
    <w:p w14:paraId="68360673" w14:textId="77777777" w:rsidR="00A96EFC" w:rsidRPr="00A96EFC" w:rsidRDefault="00A96EFC" w:rsidP="00A96EFC">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 w:history="1">
        <w:r w:rsidRPr="00A96EFC">
          <w:rPr>
            <w:rFonts w:ascii="Times New Roman" w:eastAsia="Times New Roman" w:hAnsi="Times New Roman" w:cs="Times New Roman"/>
            <w:color w:val="0000FF"/>
            <w:sz w:val="24"/>
            <w:szCs w:val="24"/>
            <w:u w:val="single"/>
          </w:rPr>
          <w:t>Grading System for Graduate Students</w:t>
        </w:r>
      </w:hyperlink>
    </w:p>
    <w:p w14:paraId="7BA2596B" w14:textId="77777777" w:rsidR="00A96EFC" w:rsidRPr="00A96EFC" w:rsidRDefault="00A96EFC" w:rsidP="00A96EFC">
      <w:pPr>
        <w:spacing w:before="100" w:beforeAutospacing="1" w:after="100" w:afterAutospacing="1" w:line="240" w:lineRule="auto"/>
        <w:outlineLvl w:val="1"/>
        <w:rPr>
          <w:rFonts w:ascii="Times New Roman" w:eastAsia="Times New Roman" w:hAnsi="Times New Roman" w:cs="Times New Roman"/>
          <w:b/>
          <w:bCs/>
          <w:sz w:val="36"/>
          <w:szCs w:val="36"/>
        </w:rPr>
      </w:pPr>
      <w:r w:rsidRPr="00A96EFC">
        <w:rPr>
          <w:rFonts w:ascii="Times New Roman" w:eastAsia="Times New Roman" w:hAnsi="Times New Roman" w:cs="Times New Roman"/>
          <w:b/>
          <w:bCs/>
          <w:sz w:val="36"/>
          <w:szCs w:val="36"/>
        </w:rPr>
        <w:t>Standard Grading System</w:t>
      </w:r>
    </w:p>
    <w:p w14:paraId="1E4D5070"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The UW uses a numerical grading system, with certain exceptions in the schools of Dentistry, Law, and Medicine. Instructors may report grades from 4.0 to 0.7 in 0.1 increments and the grade 0.0. The number 0.0 is assigned for failing work or if a student does not officially withdraw. Grades in the range 0.6 to 0.1 may not be assigned. Grades reported in this range are converted by the Office of the University Registrar to 0.0. Numerical grades may be considered equivalent to letter grades as follows: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58"/>
        <w:gridCol w:w="944"/>
        <w:gridCol w:w="2245"/>
      </w:tblGrid>
      <w:tr w:rsidR="00A96EFC" w:rsidRPr="00A96EFC" w14:paraId="5F2AF441"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13A830"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Letter Grade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6828088F"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62DD4EF5"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Note</w:t>
            </w:r>
          </w:p>
        </w:tc>
      </w:tr>
      <w:tr w:rsidR="00A96EFC" w:rsidRPr="00A96EFC" w14:paraId="3EB24418"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E946FF"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A</w:t>
            </w:r>
          </w:p>
        </w:tc>
        <w:tc>
          <w:tcPr>
            <w:tcW w:w="0" w:type="auto"/>
            <w:tcBorders>
              <w:top w:val="outset" w:sz="6" w:space="0" w:color="auto"/>
              <w:left w:val="outset" w:sz="6" w:space="0" w:color="auto"/>
              <w:bottom w:val="outset" w:sz="6" w:space="0" w:color="auto"/>
              <w:right w:val="outset" w:sz="6" w:space="0" w:color="auto"/>
            </w:tcBorders>
            <w:vAlign w:val="center"/>
            <w:hideMark/>
          </w:tcPr>
          <w:p w14:paraId="49554EE5"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4.0-3.9</w:t>
            </w:r>
          </w:p>
        </w:tc>
        <w:tc>
          <w:tcPr>
            <w:tcW w:w="0" w:type="auto"/>
            <w:tcBorders>
              <w:top w:val="outset" w:sz="6" w:space="0" w:color="auto"/>
              <w:left w:val="outset" w:sz="6" w:space="0" w:color="auto"/>
              <w:bottom w:val="outset" w:sz="6" w:space="0" w:color="auto"/>
              <w:right w:val="outset" w:sz="6" w:space="0" w:color="auto"/>
            </w:tcBorders>
            <w:vAlign w:val="center"/>
            <w:hideMark/>
          </w:tcPr>
          <w:p w14:paraId="68C0921D" w14:textId="77777777" w:rsidR="00A96EFC" w:rsidRPr="00A96EFC" w:rsidRDefault="00A96EFC" w:rsidP="00A96EFC">
            <w:pPr>
              <w:spacing w:after="0" w:line="240" w:lineRule="auto"/>
              <w:rPr>
                <w:rFonts w:ascii="Times New Roman" w:eastAsia="Times New Roman" w:hAnsi="Times New Roman" w:cs="Times New Roman"/>
                <w:sz w:val="24"/>
                <w:szCs w:val="24"/>
              </w:rPr>
            </w:pPr>
          </w:p>
        </w:tc>
      </w:tr>
      <w:tr w:rsidR="00A96EFC" w:rsidRPr="00A96EFC" w14:paraId="6CD8E027"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EB133A"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A-</w:t>
            </w:r>
          </w:p>
        </w:tc>
        <w:tc>
          <w:tcPr>
            <w:tcW w:w="0" w:type="auto"/>
            <w:tcBorders>
              <w:top w:val="outset" w:sz="6" w:space="0" w:color="auto"/>
              <w:left w:val="outset" w:sz="6" w:space="0" w:color="auto"/>
              <w:bottom w:val="outset" w:sz="6" w:space="0" w:color="auto"/>
              <w:right w:val="outset" w:sz="6" w:space="0" w:color="auto"/>
            </w:tcBorders>
            <w:vAlign w:val="center"/>
            <w:hideMark/>
          </w:tcPr>
          <w:p w14:paraId="704D6EFC"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3.8-3.5</w:t>
            </w:r>
          </w:p>
        </w:tc>
        <w:tc>
          <w:tcPr>
            <w:tcW w:w="0" w:type="auto"/>
            <w:tcBorders>
              <w:top w:val="outset" w:sz="6" w:space="0" w:color="auto"/>
              <w:left w:val="outset" w:sz="6" w:space="0" w:color="auto"/>
              <w:bottom w:val="outset" w:sz="6" w:space="0" w:color="auto"/>
              <w:right w:val="outset" w:sz="6" w:space="0" w:color="auto"/>
            </w:tcBorders>
            <w:vAlign w:val="center"/>
            <w:hideMark/>
          </w:tcPr>
          <w:p w14:paraId="65A7AE5C" w14:textId="77777777" w:rsidR="00A96EFC" w:rsidRPr="00A96EFC" w:rsidRDefault="00A96EFC" w:rsidP="00A96EFC">
            <w:pPr>
              <w:spacing w:after="0" w:line="240" w:lineRule="auto"/>
              <w:rPr>
                <w:rFonts w:ascii="Times New Roman" w:eastAsia="Times New Roman" w:hAnsi="Times New Roman" w:cs="Times New Roman"/>
                <w:sz w:val="24"/>
                <w:szCs w:val="24"/>
              </w:rPr>
            </w:pPr>
          </w:p>
        </w:tc>
      </w:tr>
      <w:tr w:rsidR="00A96EFC" w:rsidRPr="00A96EFC" w14:paraId="0D01DD47"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1C251D"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B+</w:t>
            </w:r>
          </w:p>
        </w:tc>
        <w:tc>
          <w:tcPr>
            <w:tcW w:w="0" w:type="auto"/>
            <w:tcBorders>
              <w:top w:val="outset" w:sz="6" w:space="0" w:color="auto"/>
              <w:left w:val="outset" w:sz="6" w:space="0" w:color="auto"/>
              <w:bottom w:val="outset" w:sz="6" w:space="0" w:color="auto"/>
              <w:right w:val="outset" w:sz="6" w:space="0" w:color="auto"/>
            </w:tcBorders>
            <w:vAlign w:val="center"/>
            <w:hideMark/>
          </w:tcPr>
          <w:p w14:paraId="6DC8A791"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3.4-3.2</w:t>
            </w:r>
          </w:p>
        </w:tc>
        <w:tc>
          <w:tcPr>
            <w:tcW w:w="0" w:type="auto"/>
            <w:tcBorders>
              <w:top w:val="outset" w:sz="6" w:space="0" w:color="auto"/>
              <w:left w:val="outset" w:sz="6" w:space="0" w:color="auto"/>
              <w:bottom w:val="outset" w:sz="6" w:space="0" w:color="auto"/>
              <w:right w:val="outset" w:sz="6" w:space="0" w:color="auto"/>
            </w:tcBorders>
            <w:vAlign w:val="center"/>
            <w:hideMark/>
          </w:tcPr>
          <w:p w14:paraId="45D1644E" w14:textId="77777777" w:rsidR="00A96EFC" w:rsidRPr="00A96EFC" w:rsidRDefault="00A96EFC" w:rsidP="00A96EFC">
            <w:pPr>
              <w:spacing w:after="0" w:line="240" w:lineRule="auto"/>
              <w:rPr>
                <w:rFonts w:ascii="Times New Roman" w:eastAsia="Times New Roman" w:hAnsi="Times New Roman" w:cs="Times New Roman"/>
                <w:sz w:val="24"/>
                <w:szCs w:val="24"/>
              </w:rPr>
            </w:pPr>
          </w:p>
        </w:tc>
      </w:tr>
      <w:tr w:rsidR="00A96EFC" w:rsidRPr="00A96EFC" w14:paraId="43D4B402"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92B793"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B</w:t>
            </w:r>
          </w:p>
        </w:tc>
        <w:tc>
          <w:tcPr>
            <w:tcW w:w="0" w:type="auto"/>
            <w:tcBorders>
              <w:top w:val="outset" w:sz="6" w:space="0" w:color="auto"/>
              <w:left w:val="outset" w:sz="6" w:space="0" w:color="auto"/>
              <w:bottom w:val="outset" w:sz="6" w:space="0" w:color="auto"/>
              <w:right w:val="outset" w:sz="6" w:space="0" w:color="auto"/>
            </w:tcBorders>
            <w:vAlign w:val="center"/>
            <w:hideMark/>
          </w:tcPr>
          <w:p w14:paraId="66994084"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3.1-2.9</w:t>
            </w:r>
          </w:p>
        </w:tc>
        <w:tc>
          <w:tcPr>
            <w:tcW w:w="0" w:type="auto"/>
            <w:tcBorders>
              <w:top w:val="outset" w:sz="6" w:space="0" w:color="auto"/>
              <w:left w:val="outset" w:sz="6" w:space="0" w:color="auto"/>
              <w:bottom w:val="outset" w:sz="6" w:space="0" w:color="auto"/>
              <w:right w:val="outset" w:sz="6" w:space="0" w:color="auto"/>
            </w:tcBorders>
            <w:vAlign w:val="center"/>
            <w:hideMark/>
          </w:tcPr>
          <w:p w14:paraId="204CF80C" w14:textId="77777777" w:rsidR="00A96EFC" w:rsidRPr="00A96EFC" w:rsidRDefault="00A96EFC" w:rsidP="00A96EFC">
            <w:pPr>
              <w:spacing w:after="0" w:line="240" w:lineRule="auto"/>
              <w:rPr>
                <w:rFonts w:ascii="Times New Roman" w:eastAsia="Times New Roman" w:hAnsi="Times New Roman" w:cs="Times New Roman"/>
                <w:sz w:val="24"/>
                <w:szCs w:val="24"/>
              </w:rPr>
            </w:pPr>
          </w:p>
        </w:tc>
      </w:tr>
      <w:tr w:rsidR="00A96EFC" w:rsidRPr="00A96EFC" w14:paraId="3BF7B127"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0A8DC9"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B-</w:t>
            </w:r>
          </w:p>
        </w:tc>
        <w:tc>
          <w:tcPr>
            <w:tcW w:w="0" w:type="auto"/>
            <w:tcBorders>
              <w:top w:val="outset" w:sz="6" w:space="0" w:color="auto"/>
              <w:left w:val="outset" w:sz="6" w:space="0" w:color="auto"/>
              <w:bottom w:val="outset" w:sz="6" w:space="0" w:color="auto"/>
              <w:right w:val="outset" w:sz="6" w:space="0" w:color="auto"/>
            </w:tcBorders>
            <w:vAlign w:val="center"/>
            <w:hideMark/>
          </w:tcPr>
          <w:p w14:paraId="79EE48C9"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2.8-2.5</w:t>
            </w:r>
          </w:p>
        </w:tc>
        <w:tc>
          <w:tcPr>
            <w:tcW w:w="0" w:type="auto"/>
            <w:tcBorders>
              <w:top w:val="outset" w:sz="6" w:space="0" w:color="auto"/>
              <w:left w:val="outset" w:sz="6" w:space="0" w:color="auto"/>
              <w:bottom w:val="outset" w:sz="6" w:space="0" w:color="auto"/>
              <w:right w:val="outset" w:sz="6" w:space="0" w:color="auto"/>
            </w:tcBorders>
            <w:vAlign w:val="center"/>
            <w:hideMark/>
          </w:tcPr>
          <w:p w14:paraId="456B2F05" w14:textId="77777777" w:rsidR="00A96EFC" w:rsidRPr="00A96EFC" w:rsidRDefault="00A96EFC" w:rsidP="00A96EFC">
            <w:pPr>
              <w:spacing w:after="0" w:line="240" w:lineRule="auto"/>
              <w:rPr>
                <w:rFonts w:ascii="Times New Roman" w:eastAsia="Times New Roman" w:hAnsi="Times New Roman" w:cs="Times New Roman"/>
                <w:sz w:val="24"/>
                <w:szCs w:val="24"/>
              </w:rPr>
            </w:pPr>
          </w:p>
        </w:tc>
      </w:tr>
      <w:tr w:rsidR="00A96EFC" w:rsidRPr="00A96EFC" w14:paraId="72B255FE"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53F2F2"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C+</w:t>
            </w:r>
          </w:p>
        </w:tc>
        <w:tc>
          <w:tcPr>
            <w:tcW w:w="0" w:type="auto"/>
            <w:tcBorders>
              <w:top w:val="outset" w:sz="6" w:space="0" w:color="auto"/>
              <w:left w:val="outset" w:sz="6" w:space="0" w:color="auto"/>
              <w:bottom w:val="outset" w:sz="6" w:space="0" w:color="auto"/>
              <w:right w:val="outset" w:sz="6" w:space="0" w:color="auto"/>
            </w:tcBorders>
            <w:vAlign w:val="center"/>
            <w:hideMark/>
          </w:tcPr>
          <w:p w14:paraId="379BF639"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2.4-2.2</w:t>
            </w:r>
          </w:p>
        </w:tc>
        <w:tc>
          <w:tcPr>
            <w:tcW w:w="0" w:type="auto"/>
            <w:tcBorders>
              <w:top w:val="outset" w:sz="6" w:space="0" w:color="auto"/>
              <w:left w:val="outset" w:sz="6" w:space="0" w:color="auto"/>
              <w:bottom w:val="outset" w:sz="6" w:space="0" w:color="auto"/>
              <w:right w:val="outset" w:sz="6" w:space="0" w:color="auto"/>
            </w:tcBorders>
            <w:vAlign w:val="center"/>
            <w:hideMark/>
          </w:tcPr>
          <w:p w14:paraId="7541A70B" w14:textId="77777777" w:rsidR="00A96EFC" w:rsidRPr="00A96EFC" w:rsidRDefault="00A96EFC" w:rsidP="00A96EFC">
            <w:pPr>
              <w:spacing w:after="0" w:line="240" w:lineRule="auto"/>
              <w:rPr>
                <w:rFonts w:ascii="Times New Roman" w:eastAsia="Times New Roman" w:hAnsi="Times New Roman" w:cs="Times New Roman"/>
                <w:sz w:val="24"/>
                <w:szCs w:val="24"/>
              </w:rPr>
            </w:pPr>
          </w:p>
        </w:tc>
      </w:tr>
      <w:tr w:rsidR="00A96EFC" w:rsidRPr="00A96EFC" w14:paraId="243CB00C"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99DAFF"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C</w:t>
            </w:r>
          </w:p>
        </w:tc>
        <w:tc>
          <w:tcPr>
            <w:tcW w:w="0" w:type="auto"/>
            <w:tcBorders>
              <w:top w:val="outset" w:sz="6" w:space="0" w:color="auto"/>
              <w:left w:val="outset" w:sz="6" w:space="0" w:color="auto"/>
              <w:bottom w:val="outset" w:sz="6" w:space="0" w:color="auto"/>
              <w:right w:val="outset" w:sz="6" w:space="0" w:color="auto"/>
            </w:tcBorders>
            <w:vAlign w:val="center"/>
            <w:hideMark/>
          </w:tcPr>
          <w:p w14:paraId="2F734DDE"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2.1-1.9</w:t>
            </w:r>
          </w:p>
        </w:tc>
        <w:tc>
          <w:tcPr>
            <w:tcW w:w="0" w:type="auto"/>
            <w:tcBorders>
              <w:top w:val="outset" w:sz="6" w:space="0" w:color="auto"/>
              <w:left w:val="outset" w:sz="6" w:space="0" w:color="auto"/>
              <w:bottom w:val="outset" w:sz="6" w:space="0" w:color="auto"/>
              <w:right w:val="outset" w:sz="6" w:space="0" w:color="auto"/>
            </w:tcBorders>
            <w:vAlign w:val="center"/>
            <w:hideMark/>
          </w:tcPr>
          <w:p w14:paraId="757F0055" w14:textId="77777777" w:rsidR="00A96EFC" w:rsidRPr="00A96EFC" w:rsidRDefault="00A96EFC" w:rsidP="00A96EFC">
            <w:pPr>
              <w:spacing w:after="0" w:line="240" w:lineRule="auto"/>
              <w:rPr>
                <w:rFonts w:ascii="Times New Roman" w:eastAsia="Times New Roman" w:hAnsi="Times New Roman" w:cs="Times New Roman"/>
                <w:sz w:val="24"/>
                <w:szCs w:val="24"/>
              </w:rPr>
            </w:pPr>
          </w:p>
        </w:tc>
      </w:tr>
      <w:tr w:rsidR="00A96EFC" w:rsidRPr="00A96EFC" w14:paraId="4D180DD7"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3A76E1"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C-</w:t>
            </w:r>
          </w:p>
        </w:tc>
        <w:tc>
          <w:tcPr>
            <w:tcW w:w="0" w:type="auto"/>
            <w:tcBorders>
              <w:top w:val="outset" w:sz="6" w:space="0" w:color="auto"/>
              <w:left w:val="outset" w:sz="6" w:space="0" w:color="auto"/>
              <w:bottom w:val="outset" w:sz="6" w:space="0" w:color="auto"/>
              <w:right w:val="outset" w:sz="6" w:space="0" w:color="auto"/>
            </w:tcBorders>
            <w:vAlign w:val="center"/>
            <w:hideMark/>
          </w:tcPr>
          <w:p w14:paraId="28EF6A42"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1.8-1.5</w:t>
            </w:r>
          </w:p>
        </w:tc>
        <w:tc>
          <w:tcPr>
            <w:tcW w:w="0" w:type="auto"/>
            <w:tcBorders>
              <w:top w:val="outset" w:sz="6" w:space="0" w:color="auto"/>
              <w:left w:val="outset" w:sz="6" w:space="0" w:color="auto"/>
              <w:bottom w:val="outset" w:sz="6" w:space="0" w:color="auto"/>
              <w:right w:val="outset" w:sz="6" w:space="0" w:color="auto"/>
            </w:tcBorders>
            <w:vAlign w:val="center"/>
            <w:hideMark/>
          </w:tcPr>
          <w:p w14:paraId="03CC3BA0" w14:textId="77777777" w:rsidR="00A96EFC" w:rsidRPr="00A96EFC" w:rsidRDefault="00A96EFC" w:rsidP="00A96EFC">
            <w:pPr>
              <w:spacing w:after="0" w:line="240" w:lineRule="auto"/>
              <w:rPr>
                <w:rFonts w:ascii="Times New Roman" w:eastAsia="Times New Roman" w:hAnsi="Times New Roman" w:cs="Times New Roman"/>
                <w:sz w:val="24"/>
                <w:szCs w:val="24"/>
              </w:rPr>
            </w:pPr>
          </w:p>
        </w:tc>
      </w:tr>
      <w:tr w:rsidR="00A96EFC" w:rsidRPr="00A96EFC" w14:paraId="7AFFE2BB"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D7CB19"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D+</w:t>
            </w:r>
          </w:p>
        </w:tc>
        <w:tc>
          <w:tcPr>
            <w:tcW w:w="0" w:type="auto"/>
            <w:tcBorders>
              <w:top w:val="outset" w:sz="6" w:space="0" w:color="auto"/>
              <w:left w:val="outset" w:sz="6" w:space="0" w:color="auto"/>
              <w:bottom w:val="outset" w:sz="6" w:space="0" w:color="auto"/>
              <w:right w:val="outset" w:sz="6" w:space="0" w:color="auto"/>
            </w:tcBorders>
            <w:vAlign w:val="center"/>
            <w:hideMark/>
          </w:tcPr>
          <w:p w14:paraId="27973754"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1.4-1.2</w:t>
            </w:r>
          </w:p>
        </w:tc>
        <w:tc>
          <w:tcPr>
            <w:tcW w:w="0" w:type="auto"/>
            <w:tcBorders>
              <w:top w:val="outset" w:sz="6" w:space="0" w:color="auto"/>
              <w:left w:val="outset" w:sz="6" w:space="0" w:color="auto"/>
              <w:bottom w:val="outset" w:sz="6" w:space="0" w:color="auto"/>
              <w:right w:val="outset" w:sz="6" w:space="0" w:color="auto"/>
            </w:tcBorders>
            <w:vAlign w:val="center"/>
            <w:hideMark/>
          </w:tcPr>
          <w:p w14:paraId="6F3262A9" w14:textId="77777777" w:rsidR="00A96EFC" w:rsidRPr="00A96EFC" w:rsidRDefault="00A96EFC" w:rsidP="00A96EFC">
            <w:pPr>
              <w:spacing w:after="0" w:line="240" w:lineRule="auto"/>
              <w:rPr>
                <w:rFonts w:ascii="Times New Roman" w:eastAsia="Times New Roman" w:hAnsi="Times New Roman" w:cs="Times New Roman"/>
                <w:sz w:val="24"/>
                <w:szCs w:val="24"/>
              </w:rPr>
            </w:pPr>
          </w:p>
        </w:tc>
      </w:tr>
      <w:tr w:rsidR="00A96EFC" w:rsidRPr="00A96EFC" w14:paraId="0F42E567"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5AA0B28"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D</w:t>
            </w:r>
          </w:p>
        </w:tc>
        <w:tc>
          <w:tcPr>
            <w:tcW w:w="0" w:type="auto"/>
            <w:tcBorders>
              <w:top w:val="outset" w:sz="6" w:space="0" w:color="auto"/>
              <w:left w:val="outset" w:sz="6" w:space="0" w:color="auto"/>
              <w:bottom w:val="outset" w:sz="6" w:space="0" w:color="auto"/>
              <w:right w:val="outset" w:sz="6" w:space="0" w:color="auto"/>
            </w:tcBorders>
            <w:vAlign w:val="center"/>
            <w:hideMark/>
          </w:tcPr>
          <w:p w14:paraId="277AD4AD"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1.1-0.9</w:t>
            </w:r>
          </w:p>
        </w:tc>
        <w:tc>
          <w:tcPr>
            <w:tcW w:w="0" w:type="auto"/>
            <w:tcBorders>
              <w:top w:val="outset" w:sz="6" w:space="0" w:color="auto"/>
              <w:left w:val="outset" w:sz="6" w:space="0" w:color="auto"/>
              <w:bottom w:val="outset" w:sz="6" w:space="0" w:color="auto"/>
              <w:right w:val="outset" w:sz="6" w:space="0" w:color="auto"/>
            </w:tcBorders>
            <w:vAlign w:val="center"/>
            <w:hideMark/>
          </w:tcPr>
          <w:p w14:paraId="2E3DADD7" w14:textId="77777777" w:rsidR="00A96EFC" w:rsidRPr="00A96EFC" w:rsidRDefault="00A96EFC" w:rsidP="00A96EFC">
            <w:pPr>
              <w:spacing w:after="0" w:line="240" w:lineRule="auto"/>
              <w:rPr>
                <w:rFonts w:ascii="Times New Roman" w:eastAsia="Times New Roman" w:hAnsi="Times New Roman" w:cs="Times New Roman"/>
                <w:sz w:val="24"/>
                <w:szCs w:val="24"/>
              </w:rPr>
            </w:pPr>
          </w:p>
        </w:tc>
      </w:tr>
      <w:tr w:rsidR="00A96EFC" w:rsidRPr="00A96EFC" w14:paraId="1F3F3AF7"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676129"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D-</w:t>
            </w:r>
          </w:p>
        </w:tc>
        <w:tc>
          <w:tcPr>
            <w:tcW w:w="0" w:type="auto"/>
            <w:tcBorders>
              <w:top w:val="outset" w:sz="6" w:space="0" w:color="auto"/>
              <w:left w:val="outset" w:sz="6" w:space="0" w:color="auto"/>
              <w:bottom w:val="outset" w:sz="6" w:space="0" w:color="auto"/>
              <w:right w:val="outset" w:sz="6" w:space="0" w:color="auto"/>
            </w:tcBorders>
            <w:vAlign w:val="center"/>
            <w:hideMark/>
          </w:tcPr>
          <w:p w14:paraId="5D0712F9"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0.8-0.7</w:t>
            </w:r>
          </w:p>
        </w:tc>
        <w:tc>
          <w:tcPr>
            <w:tcW w:w="0" w:type="auto"/>
            <w:tcBorders>
              <w:top w:val="outset" w:sz="6" w:space="0" w:color="auto"/>
              <w:left w:val="outset" w:sz="6" w:space="0" w:color="auto"/>
              <w:bottom w:val="outset" w:sz="6" w:space="0" w:color="auto"/>
              <w:right w:val="outset" w:sz="6" w:space="0" w:color="auto"/>
            </w:tcBorders>
            <w:vAlign w:val="center"/>
            <w:hideMark/>
          </w:tcPr>
          <w:p w14:paraId="736FB352"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Lowest passing grade.</w:t>
            </w:r>
          </w:p>
        </w:tc>
      </w:tr>
      <w:tr w:rsidR="00A96EFC" w:rsidRPr="00A96EFC" w14:paraId="71F099C8"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C5D80A"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E</w:t>
            </w:r>
          </w:p>
        </w:tc>
        <w:tc>
          <w:tcPr>
            <w:tcW w:w="0" w:type="auto"/>
            <w:tcBorders>
              <w:top w:val="outset" w:sz="6" w:space="0" w:color="auto"/>
              <w:left w:val="outset" w:sz="6" w:space="0" w:color="auto"/>
              <w:bottom w:val="outset" w:sz="6" w:space="0" w:color="auto"/>
              <w:right w:val="outset" w:sz="6" w:space="0" w:color="auto"/>
            </w:tcBorders>
            <w:vAlign w:val="center"/>
            <w:hideMark/>
          </w:tcPr>
          <w:p w14:paraId="5BFDEE51"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7AC8ED7"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Academic failure.</w:t>
            </w:r>
            <w:r w:rsidRPr="00A96EFC">
              <w:rPr>
                <w:rFonts w:ascii="Times New Roman" w:eastAsia="Times New Roman" w:hAnsi="Times New Roman" w:cs="Times New Roman"/>
                <w:sz w:val="24"/>
                <w:szCs w:val="24"/>
              </w:rPr>
              <w:br/>
              <w:t>No credit earned.</w:t>
            </w:r>
          </w:p>
        </w:tc>
      </w:tr>
    </w:tbl>
    <w:p w14:paraId="36487908"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Additional information on grades and scholarship rules may be obtained from the Graduation and Academic Records Office, 2nd Floor </w:t>
      </w:r>
      <w:hyperlink r:id="rId11" w:anchor="!/smz" w:tgtFrame="_blank" w:history="1">
        <w:r w:rsidRPr="00A96EFC">
          <w:rPr>
            <w:rFonts w:ascii="Times New Roman" w:eastAsia="Times New Roman" w:hAnsi="Times New Roman" w:cs="Times New Roman"/>
            <w:color w:val="0000FF"/>
            <w:sz w:val="24"/>
            <w:szCs w:val="24"/>
            <w:u w:val="single"/>
          </w:rPr>
          <w:t>Schmitz Hall</w:t>
        </w:r>
      </w:hyperlink>
      <w:r w:rsidRPr="00A96EFC">
        <w:rPr>
          <w:rFonts w:ascii="Times New Roman" w:eastAsia="Times New Roman" w:hAnsi="Times New Roman" w:cs="Times New Roman"/>
          <w:sz w:val="24"/>
          <w:szCs w:val="24"/>
        </w:rPr>
        <w:t>.</w:t>
      </w:r>
    </w:p>
    <w:p w14:paraId="1557E6A0"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The following letter grades may also be used:</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33"/>
        <w:gridCol w:w="7911"/>
      </w:tblGrid>
      <w:tr w:rsidR="00A96EFC" w:rsidRPr="00A96EFC" w14:paraId="3CC612EE" w14:textId="77777777" w:rsidTr="00A96EFC">
        <w:trPr>
          <w:tblCellSpacing w:w="15" w:type="dxa"/>
        </w:trPr>
        <w:tc>
          <w:tcPr>
            <w:tcW w:w="750" w:type="pct"/>
            <w:tcBorders>
              <w:top w:val="outset" w:sz="6" w:space="0" w:color="auto"/>
              <w:left w:val="outset" w:sz="6" w:space="0" w:color="auto"/>
              <w:bottom w:val="outset" w:sz="6" w:space="0" w:color="auto"/>
              <w:right w:val="outset" w:sz="6" w:space="0" w:color="auto"/>
            </w:tcBorders>
            <w:vAlign w:val="center"/>
            <w:hideMark/>
          </w:tcPr>
          <w:p w14:paraId="68373CDF"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Letter Grade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2A27326C"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Description</w:t>
            </w:r>
          </w:p>
        </w:tc>
      </w:tr>
      <w:tr w:rsidR="00A96EFC" w:rsidRPr="00A96EFC" w14:paraId="53B9ABFC"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D1090F"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lastRenderedPageBreak/>
              <w:t>N</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53AB3"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In Progress</w:t>
            </w:r>
            <w:r w:rsidRPr="00A96EFC">
              <w:rPr>
                <w:rFonts w:ascii="Times New Roman" w:eastAsia="Times New Roman" w:hAnsi="Times New Roman" w:cs="Times New Roman"/>
                <w:sz w:val="24"/>
                <w:szCs w:val="24"/>
              </w:rPr>
              <w:t xml:space="preserve"> - Indicates that the student is making satisfactory progress and a final grade will be given at the end of the quarter the work is completed. Used only for thesis, research, and hyphenated courses (courses not completed in one quarter) and courses numbered 600, 601, 700, 750, and 800. An "N" grade carries with it no credit or grade until a regular grade is assigned.</w:t>
            </w:r>
          </w:p>
        </w:tc>
      </w:tr>
      <w:tr w:rsidR="00A96EFC" w:rsidRPr="00A96EFC" w14:paraId="54D10F45"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07BCEA"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I</w:t>
            </w:r>
          </w:p>
        </w:tc>
        <w:tc>
          <w:tcPr>
            <w:tcW w:w="0" w:type="auto"/>
            <w:tcBorders>
              <w:top w:val="outset" w:sz="6" w:space="0" w:color="auto"/>
              <w:left w:val="outset" w:sz="6" w:space="0" w:color="auto"/>
              <w:bottom w:val="outset" w:sz="6" w:space="0" w:color="auto"/>
              <w:right w:val="outset" w:sz="6" w:space="0" w:color="auto"/>
            </w:tcBorders>
            <w:vAlign w:val="center"/>
            <w:hideMark/>
          </w:tcPr>
          <w:p w14:paraId="64E712BB"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Incomplete</w:t>
            </w:r>
            <w:r w:rsidRPr="00A96EFC">
              <w:rPr>
                <w:rFonts w:ascii="Times New Roman" w:eastAsia="Times New Roman" w:hAnsi="Times New Roman" w:cs="Times New Roman"/>
                <w:sz w:val="24"/>
                <w:szCs w:val="24"/>
              </w:rPr>
              <w:t xml:space="preserve"> - An Incomplete is given only when the student has been in attendance and has done satisfactory work until within two weeks of the end of the quarter and has furnished proof satisfactory to the instructor that the work cannot be completed because of illness or other circumstances beyond the student's control. A written statement of the reason for the giving of the Incomplete, listing the work which the student will need to do to remove it, must be filed by the instructor with the head of the department or the dean of the college in which the course is given.</w:t>
            </w:r>
          </w:p>
          <w:p w14:paraId="0FC672D8"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To obtain credit for the course, an undergraduate student must convert an Incomplete into a passing grade no later than the last day of the next quarter. For Spring Quarter, the following quarter is considered to be Fall Quarter. The student should never reregister for the course as a means of removing the Incomplete. An Incomplete grade not made up by the end of the next quarter is converted to the grade of 0.0 by the Office of the University Registrar unless the instructor has indicated, when assigning the Incomplete grade, that a grade other than 0.0 should be recorded if the incomplete work is not completed. The original Incomplete grade is not removed from the permanent record.</w:t>
            </w:r>
          </w:p>
          <w:p w14:paraId="4B3072F4"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An instructor may approve an extension of the Incomplete removal deadline by writing to the Graduation and Academic Records Office no later than the last day of the quarter following the quarter in which the Incomplete grade was assigned. Extensions, which may be granted for up to three additional quarters, must be received by the Office of the University Registrar before the Incomplete has been converted into a failing grade.</w:t>
            </w:r>
          </w:p>
          <w:p w14:paraId="1CB6D41C"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In no case can an Incomplete received by an undergraduate be converted to a passing grade after a lapse of one year.</w:t>
            </w:r>
          </w:p>
          <w:p w14:paraId="2CF3E501"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In no case shall an Incomplete on the record at the time a degree is granted be subsequently changed to any other grade.</w:t>
            </w:r>
          </w:p>
          <w:p w14:paraId="23A51EFF"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An Incomplete grade does not count for registered hours nor in computation of grade-point averages.</w:t>
            </w:r>
          </w:p>
          <w:p w14:paraId="10A2E8FE"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For DL-suffix courses that do not follow the quarter schedule, an Incomplete shall be given only when the student has done satisfactory work to within two weeks of the maximum term for completion of the course, as specified at the time of registration. In order to obtain credit for the course, a student must convert an Incomplete into a passing grade by the end of the quarter following </w:t>
            </w:r>
            <w:r w:rsidRPr="00A96EFC">
              <w:rPr>
                <w:rFonts w:ascii="Times New Roman" w:eastAsia="Times New Roman" w:hAnsi="Times New Roman" w:cs="Times New Roman"/>
                <w:sz w:val="24"/>
                <w:szCs w:val="24"/>
              </w:rPr>
              <w:lastRenderedPageBreak/>
              <w:t>the one in which the Incomplete was given. All other provisions and deadlines of subsections a. through d. shall also apply.</w:t>
            </w:r>
          </w:p>
        </w:tc>
      </w:tr>
      <w:tr w:rsidR="00A96EFC" w:rsidRPr="00A96EFC" w14:paraId="19B32FE2"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43B057"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lastRenderedPageBreak/>
              <w:t>S</w:t>
            </w:r>
          </w:p>
        </w:tc>
        <w:tc>
          <w:tcPr>
            <w:tcW w:w="0" w:type="auto"/>
            <w:tcBorders>
              <w:top w:val="outset" w:sz="6" w:space="0" w:color="auto"/>
              <w:left w:val="outset" w:sz="6" w:space="0" w:color="auto"/>
              <w:bottom w:val="outset" w:sz="6" w:space="0" w:color="auto"/>
              <w:right w:val="outset" w:sz="6" w:space="0" w:color="auto"/>
            </w:tcBorders>
            <w:vAlign w:val="center"/>
            <w:hideMark/>
          </w:tcPr>
          <w:p w14:paraId="06D0F77D"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Satisfactory grade for courses taken on a satisfactory/not-satisfactory basis</w:t>
            </w:r>
            <w:r w:rsidRPr="00A96EFC">
              <w:rPr>
                <w:rFonts w:ascii="Times New Roman" w:eastAsia="Times New Roman" w:hAnsi="Times New Roman" w:cs="Times New Roman"/>
                <w:sz w:val="24"/>
                <w:szCs w:val="24"/>
              </w:rPr>
              <w:t xml:space="preserve"> - An S grade is automatically converted from a numerical grade of 2.0 or above for undergraduates. The grade S may not be assigned directly by the </w:t>
            </w:r>
            <w:proofErr w:type="gramStart"/>
            <w:r w:rsidRPr="00A96EFC">
              <w:rPr>
                <w:rFonts w:ascii="Times New Roman" w:eastAsia="Times New Roman" w:hAnsi="Times New Roman" w:cs="Times New Roman"/>
                <w:sz w:val="24"/>
                <w:szCs w:val="24"/>
              </w:rPr>
              <w:t>instructor, but</w:t>
            </w:r>
            <w:proofErr w:type="gramEnd"/>
            <w:r w:rsidRPr="00A96EFC">
              <w:rPr>
                <w:rFonts w:ascii="Times New Roman" w:eastAsia="Times New Roman" w:hAnsi="Times New Roman" w:cs="Times New Roman"/>
                <w:sz w:val="24"/>
                <w:szCs w:val="24"/>
              </w:rPr>
              <w:t xml:space="preserve"> is a grade conversion by the Office of the University Registrar. Courses so graded can only be used as free electives and cannot be used to satisfy a </w:t>
            </w:r>
            <w:proofErr w:type="gramStart"/>
            <w:r w:rsidRPr="00A96EFC">
              <w:rPr>
                <w:rFonts w:ascii="Times New Roman" w:eastAsia="Times New Roman" w:hAnsi="Times New Roman" w:cs="Times New Roman"/>
                <w:sz w:val="24"/>
                <w:szCs w:val="24"/>
              </w:rPr>
              <w:t>University</w:t>
            </w:r>
            <w:proofErr w:type="gramEnd"/>
            <w:r w:rsidRPr="00A96EFC">
              <w:rPr>
                <w:rFonts w:ascii="Times New Roman" w:eastAsia="Times New Roman" w:hAnsi="Times New Roman" w:cs="Times New Roman"/>
                <w:sz w:val="24"/>
                <w:szCs w:val="24"/>
              </w:rPr>
              <w:t>, college, or department course requirement. S is not computed in GPA calculations.</w:t>
            </w:r>
          </w:p>
        </w:tc>
      </w:tr>
      <w:tr w:rsidR="00A96EFC" w:rsidRPr="00A96EFC" w14:paraId="01587542"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40B0CB"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NS</w:t>
            </w:r>
          </w:p>
        </w:tc>
        <w:tc>
          <w:tcPr>
            <w:tcW w:w="0" w:type="auto"/>
            <w:tcBorders>
              <w:top w:val="outset" w:sz="6" w:space="0" w:color="auto"/>
              <w:left w:val="outset" w:sz="6" w:space="0" w:color="auto"/>
              <w:bottom w:val="outset" w:sz="6" w:space="0" w:color="auto"/>
              <w:right w:val="outset" w:sz="6" w:space="0" w:color="auto"/>
            </w:tcBorders>
            <w:vAlign w:val="center"/>
            <w:hideMark/>
          </w:tcPr>
          <w:p w14:paraId="6ECB1E5B"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Not-Satisfactory</w:t>
            </w:r>
            <w:r w:rsidRPr="00A96EFC">
              <w:rPr>
                <w:rFonts w:ascii="Times New Roman" w:eastAsia="Times New Roman" w:hAnsi="Times New Roman" w:cs="Times New Roman"/>
                <w:sz w:val="24"/>
                <w:szCs w:val="24"/>
              </w:rPr>
              <w:t xml:space="preserve"> grade for courses taken on a satisfactory/not-satisfactory basis - A grade less than 2.0 for undergraduates is converted to NS. NS is not included in GPA calculations. No credit is awarded for courses in which an NS grade is received.</w:t>
            </w:r>
          </w:p>
        </w:tc>
      </w:tr>
      <w:tr w:rsidR="00A96EFC" w:rsidRPr="00A96EFC" w14:paraId="5DC5A73C"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97238B"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CR</w:t>
            </w:r>
          </w:p>
        </w:tc>
        <w:tc>
          <w:tcPr>
            <w:tcW w:w="0" w:type="auto"/>
            <w:tcBorders>
              <w:top w:val="outset" w:sz="6" w:space="0" w:color="auto"/>
              <w:left w:val="outset" w:sz="6" w:space="0" w:color="auto"/>
              <w:bottom w:val="outset" w:sz="6" w:space="0" w:color="auto"/>
              <w:right w:val="outset" w:sz="6" w:space="0" w:color="auto"/>
            </w:tcBorders>
            <w:vAlign w:val="center"/>
            <w:hideMark/>
          </w:tcPr>
          <w:p w14:paraId="763B58AC"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Credit awarded in a course offered on a credit/no-credit basis only or in courses numbered 600, 601, 700, 750, and 800</w:t>
            </w:r>
            <w:r w:rsidRPr="00A96EFC">
              <w:rPr>
                <w:rFonts w:ascii="Times New Roman" w:eastAsia="Times New Roman" w:hAnsi="Times New Roman" w:cs="Times New Roman"/>
                <w:sz w:val="24"/>
                <w:szCs w:val="24"/>
              </w:rPr>
              <w:t xml:space="preserve"> - The minimum performance level required for a CR grade is determined, and the grade is awarded directly, by the instructor. CR is not computed in GPA calculations.</w:t>
            </w:r>
          </w:p>
        </w:tc>
      </w:tr>
      <w:tr w:rsidR="00A96EFC" w:rsidRPr="00A96EFC" w14:paraId="6752395A"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AD803E"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NC</w:t>
            </w:r>
          </w:p>
        </w:tc>
        <w:tc>
          <w:tcPr>
            <w:tcW w:w="0" w:type="auto"/>
            <w:tcBorders>
              <w:top w:val="outset" w:sz="6" w:space="0" w:color="auto"/>
              <w:left w:val="outset" w:sz="6" w:space="0" w:color="auto"/>
              <w:bottom w:val="outset" w:sz="6" w:space="0" w:color="auto"/>
              <w:right w:val="outset" w:sz="6" w:space="0" w:color="auto"/>
            </w:tcBorders>
            <w:vAlign w:val="center"/>
            <w:hideMark/>
          </w:tcPr>
          <w:p w14:paraId="551D7D06"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No Credit awarded in a course offered on a credit/no-credit basis only or in courses numbered 600, 601, 700, 750, and 800</w:t>
            </w:r>
            <w:r w:rsidRPr="00A96EFC">
              <w:rPr>
                <w:rFonts w:ascii="Times New Roman" w:eastAsia="Times New Roman" w:hAnsi="Times New Roman" w:cs="Times New Roman"/>
                <w:sz w:val="24"/>
                <w:szCs w:val="24"/>
              </w:rPr>
              <w:t xml:space="preserve"> - The grade is awarded directly by the instructor and is not included in GPA calculations.</w:t>
            </w:r>
          </w:p>
        </w:tc>
      </w:tr>
      <w:tr w:rsidR="00A96EFC" w:rsidRPr="00A96EFC" w14:paraId="23603956"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6F314C"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W</w:t>
            </w:r>
          </w:p>
        </w:tc>
        <w:tc>
          <w:tcPr>
            <w:tcW w:w="0" w:type="auto"/>
            <w:tcBorders>
              <w:top w:val="outset" w:sz="6" w:space="0" w:color="auto"/>
              <w:left w:val="outset" w:sz="6" w:space="0" w:color="auto"/>
              <w:bottom w:val="outset" w:sz="6" w:space="0" w:color="auto"/>
              <w:right w:val="outset" w:sz="6" w:space="0" w:color="auto"/>
            </w:tcBorders>
            <w:vAlign w:val="center"/>
            <w:hideMark/>
          </w:tcPr>
          <w:p w14:paraId="3CC31743"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Official Withdrawal or drop from a course after the fourteenth calendar day of the quarter through the seventh week</w:t>
            </w:r>
            <w:r w:rsidRPr="00A96EFC">
              <w:rPr>
                <w:rFonts w:ascii="Times New Roman" w:eastAsia="Times New Roman" w:hAnsi="Times New Roman" w:cs="Times New Roman"/>
                <w:sz w:val="24"/>
                <w:szCs w:val="24"/>
              </w:rPr>
              <w:t xml:space="preserve"> - to be followed by a number representing the week in which the course was dropped. An official withdrawal is not computed in GPA calculations. Students who do not officially drop a course(s) will receive a grade of 0.0. For DL-suffix courses that do not follow the quarter schedule, the grade W shall be assigned to any course dropped after the fourteenth calendar day after the start of the course and more than two weeks before the end of the maximum term for completion of the course, as specified at the time of registration. An annotation of Withdrawal and the date of withdrawal shall be noted on the transcript for a complete withdrawal. Effective through Summer 2020.</w:t>
            </w:r>
          </w:p>
        </w:tc>
      </w:tr>
      <w:tr w:rsidR="00A96EFC" w:rsidRPr="00A96EFC" w14:paraId="7213F7AE"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D846378"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HW</w:t>
            </w:r>
          </w:p>
        </w:tc>
        <w:tc>
          <w:tcPr>
            <w:tcW w:w="0" w:type="auto"/>
            <w:tcBorders>
              <w:top w:val="outset" w:sz="6" w:space="0" w:color="auto"/>
              <w:left w:val="outset" w:sz="6" w:space="0" w:color="auto"/>
              <w:bottom w:val="outset" w:sz="6" w:space="0" w:color="auto"/>
              <w:right w:val="outset" w:sz="6" w:space="0" w:color="auto"/>
            </w:tcBorders>
            <w:vAlign w:val="center"/>
            <w:hideMark/>
          </w:tcPr>
          <w:p w14:paraId="1AE8DA86"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Hardship Withdrawal</w:t>
            </w:r>
            <w:r w:rsidRPr="00A96EFC">
              <w:rPr>
                <w:rFonts w:ascii="Times New Roman" w:eastAsia="Times New Roman" w:hAnsi="Times New Roman" w:cs="Times New Roman"/>
                <w:sz w:val="24"/>
                <w:szCs w:val="24"/>
              </w:rPr>
              <w:t xml:space="preserve"> - Grade assigned when a student is allowed a hardship withdrawal from a course after the fourteenth calendar day of the quarter. HW grades are not computed in GPA calculations. Effective through Winter 2020.</w:t>
            </w:r>
          </w:p>
        </w:tc>
      </w:tr>
      <w:tr w:rsidR="00A96EFC" w:rsidRPr="00A96EFC" w14:paraId="4E24E790"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11C67A"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RD</w:t>
            </w:r>
          </w:p>
        </w:tc>
        <w:tc>
          <w:tcPr>
            <w:tcW w:w="0" w:type="auto"/>
            <w:tcBorders>
              <w:top w:val="outset" w:sz="6" w:space="0" w:color="auto"/>
              <w:left w:val="outset" w:sz="6" w:space="0" w:color="auto"/>
              <w:bottom w:val="outset" w:sz="6" w:space="0" w:color="auto"/>
              <w:right w:val="outset" w:sz="6" w:space="0" w:color="auto"/>
            </w:tcBorders>
            <w:vAlign w:val="center"/>
            <w:hideMark/>
          </w:tcPr>
          <w:p w14:paraId="5BF7D7F6"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Registrar Drop</w:t>
            </w:r>
            <w:r w:rsidRPr="00A96EFC">
              <w:rPr>
                <w:rFonts w:ascii="Times New Roman" w:eastAsia="Times New Roman" w:hAnsi="Times New Roman" w:cs="Times New Roman"/>
                <w:sz w:val="24"/>
                <w:szCs w:val="24"/>
              </w:rPr>
              <w:t xml:space="preserve"> - Grade assigned when a student drops a course through the Current Quarter Drop process between the third week of the quarter through the end of the quarter and/or through the Former Quarter Drop process when a student completes the process to have a grade changed to RD for a quarter that has passed. RD grades are not computed in GPA calculations. Effective Spring 2020.</w:t>
            </w:r>
          </w:p>
        </w:tc>
      </w:tr>
    </w:tbl>
    <w:p w14:paraId="78D45F11" w14:textId="77777777" w:rsidR="00A96EFC" w:rsidRPr="00A96EFC" w:rsidRDefault="00A96EFC" w:rsidP="00A96EFC">
      <w:pPr>
        <w:spacing w:before="100" w:beforeAutospacing="1" w:after="100" w:afterAutospacing="1" w:line="240" w:lineRule="auto"/>
        <w:outlineLvl w:val="1"/>
        <w:rPr>
          <w:rFonts w:ascii="Times New Roman" w:eastAsia="Times New Roman" w:hAnsi="Times New Roman" w:cs="Times New Roman"/>
          <w:b/>
          <w:bCs/>
          <w:sz w:val="36"/>
          <w:szCs w:val="36"/>
        </w:rPr>
      </w:pPr>
      <w:r w:rsidRPr="00A96EFC">
        <w:rPr>
          <w:rFonts w:ascii="Times New Roman" w:eastAsia="Times New Roman" w:hAnsi="Times New Roman" w:cs="Times New Roman"/>
          <w:b/>
          <w:bCs/>
          <w:sz w:val="36"/>
          <w:szCs w:val="36"/>
        </w:rPr>
        <w:t>Nontraditional Grading Options</w:t>
      </w:r>
    </w:p>
    <w:p w14:paraId="065014A0" w14:textId="77777777" w:rsidR="00A96EFC" w:rsidRPr="00A96EFC" w:rsidRDefault="00A96EFC" w:rsidP="00A96EFC">
      <w:pPr>
        <w:spacing w:before="100" w:beforeAutospacing="1" w:after="100" w:afterAutospacing="1" w:line="240" w:lineRule="auto"/>
        <w:outlineLvl w:val="2"/>
        <w:rPr>
          <w:rFonts w:ascii="Times New Roman" w:eastAsia="Times New Roman" w:hAnsi="Times New Roman" w:cs="Times New Roman"/>
          <w:b/>
          <w:bCs/>
          <w:sz w:val="27"/>
          <w:szCs w:val="27"/>
        </w:rPr>
      </w:pPr>
      <w:r w:rsidRPr="00A96EFC">
        <w:rPr>
          <w:rFonts w:ascii="Times New Roman" w:eastAsia="Times New Roman" w:hAnsi="Times New Roman" w:cs="Times New Roman"/>
          <w:b/>
          <w:bCs/>
          <w:sz w:val="27"/>
          <w:szCs w:val="27"/>
        </w:rPr>
        <w:lastRenderedPageBreak/>
        <w:t>Credit/No Credit–Only as a Course Option</w:t>
      </w:r>
    </w:p>
    <w:p w14:paraId="493404EF"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With appropriate departmental review and approval, a course may be offered on a credit/no credit-only basis. The standard for granting credit in credit/no credit-only courses under this option is the demonstration of competence in the material of the course to the instructor's satisfaction. Grading should be consistent with the University's policy for numerically graded courses, in which students receive credit for grades of 0.7 or greater. Students demonstrating such competence shall have CR entered on the transcript; those who do not shall have NC entered on the transcript. Although CR and NC grades are entered on the transcript, they are not used in the computation of the grade-point average.</w:t>
      </w:r>
    </w:p>
    <w:p w14:paraId="6BAE1140" w14:textId="77777777" w:rsidR="00A96EFC" w:rsidRPr="00A96EFC" w:rsidRDefault="00A96EFC" w:rsidP="00A96EFC">
      <w:pPr>
        <w:spacing w:before="100" w:beforeAutospacing="1" w:after="100" w:afterAutospacing="1" w:line="240" w:lineRule="auto"/>
        <w:outlineLvl w:val="2"/>
        <w:rPr>
          <w:rFonts w:ascii="Times New Roman" w:eastAsia="Times New Roman" w:hAnsi="Times New Roman" w:cs="Times New Roman"/>
          <w:b/>
          <w:bCs/>
          <w:sz w:val="27"/>
          <w:szCs w:val="27"/>
        </w:rPr>
      </w:pPr>
      <w:r w:rsidRPr="00A96EFC">
        <w:rPr>
          <w:rFonts w:ascii="Times New Roman" w:eastAsia="Times New Roman" w:hAnsi="Times New Roman" w:cs="Times New Roman"/>
          <w:b/>
          <w:bCs/>
          <w:sz w:val="27"/>
          <w:szCs w:val="27"/>
        </w:rPr>
        <w:t>Satisfactory/Not-Satisfactory Grading Option</w:t>
      </w:r>
    </w:p>
    <w:p w14:paraId="0FD8A895"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Students may elect to take certain courses on a satisfactory/not satisfactory (S/NS) basis.</w:t>
      </w:r>
    </w:p>
    <w:p w14:paraId="05C81800"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When registering through Personal Services on </w:t>
      </w:r>
      <w:hyperlink r:id="rId12" w:tgtFrame="_blank" w:history="1">
        <w:proofErr w:type="spellStart"/>
        <w:r w:rsidRPr="00A96EFC">
          <w:rPr>
            <w:rFonts w:ascii="Times New Roman" w:eastAsia="Times New Roman" w:hAnsi="Times New Roman" w:cs="Times New Roman"/>
            <w:color w:val="0000FF"/>
            <w:sz w:val="24"/>
            <w:szCs w:val="24"/>
            <w:u w:val="single"/>
          </w:rPr>
          <w:t>MyUW</w:t>
        </w:r>
        <w:proofErr w:type="spellEnd"/>
      </w:hyperlink>
      <w:r w:rsidRPr="00A96EFC">
        <w:rPr>
          <w:rFonts w:ascii="Times New Roman" w:eastAsia="Times New Roman" w:hAnsi="Times New Roman" w:cs="Times New Roman"/>
          <w:sz w:val="24"/>
          <w:szCs w:val="24"/>
        </w:rPr>
        <w:t xml:space="preserve">, select the Grade Option box to select S/NS grading option. </w:t>
      </w:r>
      <w:r w:rsidRPr="00A96EFC">
        <w:rPr>
          <w:rFonts w:ascii="Times New Roman" w:eastAsia="Times New Roman" w:hAnsi="Times New Roman" w:cs="Times New Roman"/>
          <w:b/>
          <w:bCs/>
          <w:sz w:val="24"/>
          <w:szCs w:val="24"/>
        </w:rPr>
        <w:t xml:space="preserve">The </w:t>
      </w:r>
      <w:r w:rsidRPr="00A96EFC">
        <w:rPr>
          <w:rFonts w:ascii="Times New Roman" w:eastAsia="Times New Roman" w:hAnsi="Times New Roman" w:cs="Times New Roman"/>
          <w:b/>
          <w:bCs/>
          <w:i/>
          <w:iCs/>
          <w:sz w:val="24"/>
          <w:szCs w:val="24"/>
        </w:rPr>
        <w:t>S/NS</w:t>
      </w:r>
      <w:r w:rsidRPr="00A96EFC">
        <w:rPr>
          <w:rFonts w:ascii="Times New Roman" w:eastAsia="Times New Roman" w:hAnsi="Times New Roman" w:cs="Times New Roman"/>
          <w:b/>
          <w:bCs/>
          <w:sz w:val="24"/>
          <w:szCs w:val="24"/>
        </w:rPr>
        <w:t xml:space="preserve"> grade option can be elected through the </w:t>
      </w:r>
      <w:hyperlink r:id="rId13" w:history="1">
        <w:r w:rsidRPr="00A96EFC">
          <w:rPr>
            <w:rFonts w:ascii="Times New Roman" w:eastAsia="Times New Roman" w:hAnsi="Times New Roman" w:cs="Times New Roman"/>
            <w:b/>
            <w:bCs/>
            <w:color w:val="0000FF"/>
            <w:sz w:val="24"/>
            <w:szCs w:val="24"/>
            <w:u w:val="single"/>
          </w:rPr>
          <w:t>day shown on the academic calendar</w:t>
        </w:r>
      </w:hyperlink>
      <w:r w:rsidRPr="00A96EFC">
        <w:rPr>
          <w:rFonts w:ascii="Times New Roman" w:eastAsia="Times New Roman" w:hAnsi="Times New Roman" w:cs="Times New Roman"/>
          <w:b/>
          <w:bCs/>
          <w:sz w:val="24"/>
          <w:szCs w:val="24"/>
        </w:rPr>
        <w:t xml:space="preserve"> for the current quarter. NO EXCEPTIONS.</w:t>
      </w:r>
      <w:r w:rsidRPr="00A96EFC">
        <w:rPr>
          <w:rFonts w:ascii="Times New Roman" w:eastAsia="Times New Roman" w:hAnsi="Times New Roman" w:cs="Times New Roman"/>
          <w:sz w:val="24"/>
          <w:szCs w:val="24"/>
        </w:rPr>
        <w:t xml:space="preserve"> A $20 fee is charged beginning the eighth calendar day of the quarter.</w:t>
      </w:r>
    </w:p>
    <w:p w14:paraId="684D707E"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Students may only register for up to 20 credits of S/NS through Personal Services on </w:t>
      </w:r>
      <w:proofErr w:type="spellStart"/>
      <w:r w:rsidRPr="00A96EFC">
        <w:rPr>
          <w:rFonts w:ascii="Times New Roman" w:eastAsia="Times New Roman" w:hAnsi="Times New Roman" w:cs="Times New Roman"/>
          <w:sz w:val="24"/>
          <w:szCs w:val="24"/>
        </w:rPr>
        <w:t>MyUW</w:t>
      </w:r>
      <w:proofErr w:type="spellEnd"/>
      <w:r w:rsidRPr="00A96EFC">
        <w:rPr>
          <w:rFonts w:ascii="Times New Roman" w:eastAsia="Times New Roman" w:hAnsi="Times New Roman" w:cs="Times New Roman"/>
          <w:sz w:val="24"/>
          <w:szCs w:val="24"/>
        </w:rPr>
        <w:t xml:space="preserve">. Exceptions may be granted by sending a request to </w:t>
      </w:r>
      <w:hyperlink r:id="rId14" w:history="1">
        <w:r w:rsidRPr="00A96EFC">
          <w:rPr>
            <w:rFonts w:ascii="Times New Roman" w:eastAsia="Times New Roman" w:hAnsi="Times New Roman" w:cs="Times New Roman"/>
            <w:color w:val="0000FF"/>
            <w:sz w:val="24"/>
            <w:szCs w:val="24"/>
            <w:u w:val="single"/>
          </w:rPr>
          <w:t>petition@uw.edu</w:t>
        </w:r>
      </w:hyperlink>
      <w:r w:rsidRPr="00A96EFC">
        <w:rPr>
          <w:rFonts w:ascii="Times New Roman" w:eastAsia="Times New Roman" w:hAnsi="Times New Roman" w:cs="Times New Roman"/>
          <w:sz w:val="24"/>
          <w:szCs w:val="24"/>
        </w:rPr>
        <w:t>.</w:t>
      </w:r>
    </w:p>
    <w:p w14:paraId="7DE19053"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As an undergraduate, a course in which an </w:t>
      </w:r>
      <w:r w:rsidRPr="00A96EFC">
        <w:rPr>
          <w:rFonts w:ascii="Times New Roman" w:eastAsia="Times New Roman" w:hAnsi="Times New Roman" w:cs="Times New Roman"/>
          <w:i/>
          <w:iCs/>
          <w:sz w:val="24"/>
          <w:szCs w:val="24"/>
        </w:rPr>
        <w:t>S</w:t>
      </w:r>
      <w:r w:rsidRPr="00A96EFC">
        <w:rPr>
          <w:rFonts w:ascii="Times New Roman" w:eastAsia="Times New Roman" w:hAnsi="Times New Roman" w:cs="Times New Roman"/>
          <w:sz w:val="24"/>
          <w:szCs w:val="24"/>
        </w:rPr>
        <w:t xml:space="preserve"> is earned may not be used to satisfy any department, college, or University requirement, except that the credits may be applied to the minimum of 180 credits required for graduation. Each instructor will report numerical grades to the Registrar, who will convert satisfactory grades (2.0 or greater) to </w:t>
      </w:r>
      <w:r w:rsidRPr="00A96EFC">
        <w:rPr>
          <w:rFonts w:ascii="Times New Roman" w:eastAsia="Times New Roman" w:hAnsi="Times New Roman" w:cs="Times New Roman"/>
          <w:i/>
          <w:iCs/>
          <w:sz w:val="24"/>
          <w:szCs w:val="24"/>
        </w:rPr>
        <w:t>S</w:t>
      </w:r>
      <w:r w:rsidRPr="00A96EFC">
        <w:rPr>
          <w:rFonts w:ascii="Times New Roman" w:eastAsia="Times New Roman" w:hAnsi="Times New Roman" w:cs="Times New Roman"/>
          <w:sz w:val="24"/>
          <w:szCs w:val="24"/>
        </w:rPr>
        <w:t xml:space="preserve">, and unsatisfactory grades (less than 2.0) to </w:t>
      </w:r>
      <w:r w:rsidRPr="00A96EFC">
        <w:rPr>
          <w:rFonts w:ascii="Times New Roman" w:eastAsia="Times New Roman" w:hAnsi="Times New Roman" w:cs="Times New Roman"/>
          <w:i/>
          <w:iCs/>
          <w:sz w:val="24"/>
          <w:szCs w:val="24"/>
        </w:rPr>
        <w:t>NS</w:t>
      </w:r>
      <w:r w:rsidRPr="00A96EFC">
        <w:rPr>
          <w:rFonts w:ascii="Times New Roman" w:eastAsia="Times New Roman" w:hAnsi="Times New Roman" w:cs="Times New Roman"/>
          <w:sz w:val="24"/>
          <w:szCs w:val="24"/>
        </w:rPr>
        <w:t xml:space="preserve"> for the student's transcript. No more than 25 </w:t>
      </w:r>
      <w:r w:rsidRPr="00A96EFC">
        <w:rPr>
          <w:rFonts w:ascii="Times New Roman" w:eastAsia="Times New Roman" w:hAnsi="Times New Roman" w:cs="Times New Roman"/>
          <w:i/>
          <w:iCs/>
          <w:sz w:val="24"/>
          <w:szCs w:val="24"/>
        </w:rPr>
        <w:t>S/NS</w:t>
      </w:r>
      <w:r w:rsidRPr="00A96EFC">
        <w:rPr>
          <w:rFonts w:ascii="Times New Roman" w:eastAsia="Times New Roman" w:hAnsi="Times New Roman" w:cs="Times New Roman"/>
          <w:sz w:val="24"/>
          <w:szCs w:val="24"/>
        </w:rPr>
        <w:t xml:space="preserve"> credits may apply toward an undergraduate degree.</w:t>
      </w:r>
    </w:p>
    <w:p w14:paraId="516AB856"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Graduate students who earn grades of 2.7 or above will receive a grade of </w:t>
      </w:r>
      <w:r w:rsidRPr="00A96EFC">
        <w:rPr>
          <w:rFonts w:ascii="Times New Roman" w:eastAsia="Times New Roman" w:hAnsi="Times New Roman" w:cs="Times New Roman"/>
          <w:i/>
          <w:iCs/>
          <w:sz w:val="24"/>
          <w:szCs w:val="24"/>
        </w:rPr>
        <w:t>S</w:t>
      </w:r>
      <w:r w:rsidRPr="00A96EFC">
        <w:rPr>
          <w:rFonts w:ascii="Times New Roman" w:eastAsia="Times New Roman" w:hAnsi="Times New Roman" w:cs="Times New Roman"/>
          <w:sz w:val="24"/>
          <w:szCs w:val="24"/>
        </w:rPr>
        <w:t xml:space="preserve"> while 2.6 or below are recorded as </w:t>
      </w:r>
      <w:r w:rsidRPr="00A96EFC">
        <w:rPr>
          <w:rFonts w:ascii="Times New Roman" w:eastAsia="Times New Roman" w:hAnsi="Times New Roman" w:cs="Times New Roman"/>
          <w:i/>
          <w:iCs/>
          <w:sz w:val="24"/>
          <w:szCs w:val="24"/>
        </w:rPr>
        <w:t>NS</w:t>
      </w:r>
      <w:r w:rsidRPr="00A96EFC">
        <w:rPr>
          <w:rFonts w:ascii="Times New Roman" w:eastAsia="Times New Roman" w:hAnsi="Times New Roman" w:cs="Times New Roman"/>
          <w:sz w:val="24"/>
          <w:szCs w:val="24"/>
        </w:rPr>
        <w:t xml:space="preserve">. With the approval of the graduate program adviser or the Supervisory Committee Chairperson, students may elect to take any course for which they are eligible outside of their major academic unit on an </w:t>
      </w:r>
      <w:r w:rsidRPr="00A96EFC">
        <w:rPr>
          <w:rFonts w:ascii="Times New Roman" w:eastAsia="Times New Roman" w:hAnsi="Times New Roman" w:cs="Times New Roman"/>
          <w:i/>
          <w:iCs/>
          <w:sz w:val="24"/>
          <w:szCs w:val="24"/>
        </w:rPr>
        <w:t>S/NS</w:t>
      </w:r>
      <w:r w:rsidRPr="00A96EFC">
        <w:rPr>
          <w:rFonts w:ascii="Times New Roman" w:eastAsia="Times New Roman" w:hAnsi="Times New Roman" w:cs="Times New Roman"/>
          <w:sz w:val="24"/>
          <w:szCs w:val="24"/>
        </w:rPr>
        <w:t xml:space="preserve"> basis.</w:t>
      </w:r>
    </w:p>
    <w:p w14:paraId="062EA292"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In cases of withdrawal, the </w:t>
      </w:r>
      <w:r w:rsidRPr="00A96EFC">
        <w:rPr>
          <w:rFonts w:ascii="Times New Roman" w:eastAsia="Times New Roman" w:hAnsi="Times New Roman" w:cs="Times New Roman"/>
          <w:i/>
          <w:iCs/>
          <w:sz w:val="24"/>
          <w:szCs w:val="24"/>
        </w:rPr>
        <w:t>W</w:t>
      </w:r>
      <w:r w:rsidRPr="00A96EFC">
        <w:rPr>
          <w:rFonts w:ascii="Times New Roman" w:eastAsia="Times New Roman" w:hAnsi="Times New Roman" w:cs="Times New Roman"/>
          <w:sz w:val="24"/>
          <w:szCs w:val="24"/>
        </w:rPr>
        <w:t xml:space="preserve"> is recorded. Neither </w:t>
      </w:r>
      <w:r w:rsidRPr="00A96EFC">
        <w:rPr>
          <w:rFonts w:ascii="Times New Roman" w:eastAsia="Times New Roman" w:hAnsi="Times New Roman" w:cs="Times New Roman"/>
          <w:i/>
          <w:iCs/>
          <w:sz w:val="24"/>
          <w:szCs w:val="24"/>
        </w:rPr>
        <w:t>S</w:t>
      </w:r>
      <w:r w:rsidRPr="00A96EFC">
        <w:rPr>
          <w:rFonts w:ascii="Times New Roman" w:eastAsia="Times New Roman" w:hAnsi="Times New Roman" w:cs="Times New Roman"/>
          <w:sz w:val="24"/>
          <w:szCs w:val="24"/>
        </w:rPr>
        <w:t xml:space="preserve"> nor </w:t>
      </w:r>
      <w:r w:rsidRPr="00A96EFC">
        <w:rPr>
          <w:rFonts w:ascii="Times New Roman" w:eastAsia="Times New Roman" w:hAnsi="Times New Roman" w:cs="Times New Roman"/>
          <w:i/>
          <w:iCs/>
          <w:sz w:val="24"/>
          <w:szCs w:val="24"/>
        </w:rPr>
        <w:t>NS</w:t>
      </w:r>
      <w:r w:rsidRPr="00A96EFC">
        <w:rPr>
          <w:rFonts w:ascii="Times New Roman" w:eastAsia="Times New Roman" w:hAnsi="Times New Roman" w:cs="Times New Roman"/>
          <w:sz w:val="24"/>
          <w:szCs w:val="24"/>
        </w:rPr>
        <w:t xml:space="preserve"> is included in the grade-point average.</w:t>
      </w:r>
    </w:p>
    <w:p w14:paraId="461F8106" w14:textId="77777777" w:rsidR="00A96EFC" w:rsidRPr="00A96EFC" w:rsidRDefault="00A96EFC" w:rsidP="00A96EFC">
      <w:pPr>
        <w:spacing w:before="100" w:beforeAutospacing="1" w:after="100" w:afterAutospacing="1" w:line="240" w:lineRule="auto"/>
        <w:outlineLvl w:val="1"/>
        <w:rPr>
          <w:rFonts w:ascii="Times New Roman" w:eastAsia="Times New Roman" w:hAnsi="Times New Roman" w:cs="Times New Roman"/>
          <w:b/>
          <w:bCs/>
          <w:sz w:val="36"/>
          <w:szCs w:val="36"/>
        </w:rPr>
      </w:pPr>
      <w:r w:rsidRPr="00A96EFC">
        <w:rPr>
          <w:rFonts w:ascii="Times New Roman" w:eastAsia="Times New Roman" w:hAnsi="Times New Roman" w:cs="Times New Roman"/>
          <w:b/>
          <w:bCs/>
          <w:sz w:val="36"/>
          <w:szCs w:val="36"/>
        </w:rPr>
        <w:t>Grade-Point Average (GPA)</w:t>
      </w:r>
    </w:p>
    <w:p w14:paraId="41A58FAF"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The University's cumulative GPA is based solely on courses taken in residence at the UW; this includes some, but not all, courses taken through UW Extension. The UW transcript also reflects grades for UW Extension course work that is not residence credit, and the grades for credit by examination. These latter grades do not affect the University cumulative GPA.</w:t>
      </w:r>
    </w:p>
    <w:p w14:paraId="0785F183" w14:textId="77777777" w:rsidR="00A96EFC" w:rsidRPr="00A96EFC" w:rsidRDefault="00A96EFC" w:rsidP="00A96EFC">
      <w:pPr>
        <w:spacing w:before="100" w:beforeAutospacing="1" w:after="100" w:afterAutospacing="1" w:line="240" w:lineRule="auto"/>
        <w:outlineLvl w:val="2"/>
        <w:rPr>
          <w:rFonts w:ascii="Times New Roman" w:eastAsia="Times New Roman" w:hAnsi="Times New Roman" w:cs="Times New Roman"/>
          <w:b/>
          <w:bCs/>
          <w:sz w:val="27"/>
          <w:szCs w:val="27"/>
        </w:rPr>
      </w:pPr>
      <w:r w:rsidRPr="00A96EFC">
        <w:rPr>
          <w:rFonts w:ascii="Times New Roman" w:eastAsia="Times New Roman" w:hAnsi="Times New Roman" w:cs="Times New Roman"/>
          <w:b/>
          <w:bCs/>
          <w:sz w:val="27"/>
          <w:szCs w:val="27"/>
        </w:rPr>
        <w:lastRenderedPageBreak/>
        <w:t>Computation of GPA</w:t>
      </w:r>
    </w:p>
    <w:p w14:paraId="388EE643"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The GPA for graduation is computed by dividing the total cumulative grade points by the total graded credits attempted for courses taken in residence at the University. Grade points are calculated by multiplying the number of credits by the numeric value of the grade for each course. The sum of the grade points is then divided by the total graded credits attempted. Courses elected on an </w:t>
      </w:r>
      <w:r w:rsidRPr="00A96EFC">
        <w:rPr>
          <w:rFonts w:ascii="Times New Roman" w:eastAsia="Times New Roman" w:hAnsi="Times New Roman" w:cs="Times New Roman"/>
          <w:i/>
          <w:iCs/>
          <w:sz w:val="24"/>
          <w:szCs w:val="24"/>
        </w:rPr>
        <w:t>S/NS</w:t>
      </w:r>
      <w:r w:rsidRPr="00A96EFC">
        <w:rPr>
          <w:rFonts w:ascii="Times New Roman" w:eastAsia="Times New Roman" w:hAnsi="Times New Roman" w:cs="Times New Roman"/>
          <w:sz w:val="24"/>
          <w:szCs w:val="24"/>
        </w:rPr>
        <w:t xml:space="preserve"> basis are counted as follows: Satisfactory grades are printed on the permanent record as an </w:t>
      </w:r>
      <w:r w:rsidRPr="00A96EFC">
        <w:rPr>
          <w:rFonts w:ascii="Times New Roman" w:eastAsia="Times New Roman" w:hAnsi="Times New Roman" w:cs="Times New Roman"/>
          <w:i/>
          <w:iCs/>
          <w:sz w:val="24"/>
          <w:szCs w:val="24"/>
        </w:rPr>
        <w:t>S</w:t>
      </w:r>
      <w:r w:rsidRPr="00A96EFC">
        <w:rPr>
          <w:rFonts w:ascii="Times New Roman" w:eastAsia="Times New Roman" w:hAnsi="Times New Roman" w:cs="Times New Roman"/>
          <w:sz w:val="24"/>
          <w:szCs w:val="24"/>
        </w:rPr>
        <w:t xml:space="preserve"> and do not count in the quarterly or cumulative GPA, but they do count as credits earned toward graduation. Not-satisfactory grades, </w:t>
      </w:r>
      <w:r w:rsidRPr="00A96EFC">
        <w:rPr>
          <w:rFonts w:ascii="Times New Roman" w:eastAsia="Times New Roman" w:hAnsi="Times New Roman" w:cs="Times New Roman"/>
          <w:i/>
          <w:iCs/>
          <w:sz w:val="24"/>
          <w:szCs w:val="24"/>
        </w:rPr>
        <w:t>NS</w:t>
      </w:r>
      <w:r w:rsidRPr="00A96EFC">
        <w:rPr>
          <w:rFonts w:ascii="Times New Roman" w:eastAsia="Times New Roman" w:hAnsi="Times New Roman" w:cs="Times New Roman"/>
          <w:sz w:val="24"/>
          <w:szCs w:val="24"/>
        </w:rPr>
        <w:t>, do not count in the quarterly and cumulative GPA and do not count as credits earned toward graduation.</w:t>
      </w:r>
    </w:p>
    <w:tbl>
      <w:tblPr>
        <w:tblW w:w="60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21"/>
        <w:gridCol w:w="850"/>
        <w:gridCol w:w="744"/>
        <w:gridCol w:w="226"/>
        <w:gridCol w:w="759"/>
      </w:tblGrid>
      <w:tr w:rsidR="00A96EFC" w:rsidRPr="00A96EFC" w14:paraId="5A00C319" w14:textId="77777777" w:rsidTr="00A96EFC">
        <w:trPr>
          <w:tblCellSpacing w:w="15" w:type="dxa"/>
        </w:trPr>
        <w:tc>
          <w:tcPr>
            <w:tcW w:w="0" w:type="auto"/>
            <w:gridSpan w:val="5"/>
            <w:tcBorders>
              <w:top w:val="nil"/>
              <w:left w:val="nil"/>
              <w:bottom w:val="nil"/>
              <w:right w:val="nil"/>
            </w:tcBorders>
            <w:vAlign w:val="center"/>
            <w:hideMark/>
          </w:tcPr>
          <w:p w14:paraId="5D24709B"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EXAMPLE 1</w:t>
            </w:r>
            <w:r w:rsidRPr="00A96EFC">
              <w:rPr>
                <w:rFonts w:ascii="Times New Roman" w:eastAsia="Times New Roman" w:hAnsi="Times New Roman" w:cs="Times New Roman"/>
                <w:sz w:val="24"/>
                <w:szCs w:val="24"/>
              </w:rPr>
              <w:t xml:space="preserve"> </w:t>
            </w:r>
          </w:p>
        </w:tc>
      </w:tr>
      <w:tr w:rsidR="00A96EFC" w:rsidRPr="00A96EFC" w14:paraId="09E36DAB"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6A497949"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Course</w:t>
            </w:r>
          </w:p>
        </w:tc>
        <w:tc>
          <w:tcPr>
            <w:tcW w:w="0" w:type="auto"/>
            <w:tcBorders>
              <w:top w:val="outset" w:sz="6" w:space="0" w:color="auto"/>
              <w:left w:val="outset" w:sz="6" w:space="0" w:color="auto"/>
              <w:bottom w:val="outset" w:sz="6" w:space="0" w:color="auto"/>
              <w:right w:val="outset" w:sz="6" w:space="0" w:color="auto"/>
            </w:tcBorders>
            <w:vAlign w:val="bottom"/>
            <w:hideMark/>
          </w:tcPr>
          <w:p w14:paraId="1FBED23E"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Credits</w:t>
            </w:r>
          </w:p>
        </w:tc>
        <w:tc>
          <w:tcPr>
            <w:tcW w:w="0" w:type="auto"/>
            <w:tcBorders>
              <w:top w:val="outset" w:sz="6" w:space="0" w:color="auto"/>
              <w:left w:val="outset" w:sz="6" w:space="0" w:color="auto"/>
              <w:bottom w:val="outset" w:sz="6" w:space="0" w:color="auto"/>
              <w:right w:val="outset" w:sz="6" w:space="0" w:color="auto"/>
            </w:tcBorders>
            <w:vAlign w:val="bottom"/>
            <w:hideMark/>
          </w:tcPr>
          <w:p w14:paraId="76945D80"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Grade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34D3F48E"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4259CB92"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Grade</w:t>
            </w:r>
            <w:r w:rsidRPr="00A96EFC">
              <w:rPr>
                <w:rFonts w:ascii="Times New Roman" w:eastAsia="Times New Roman" w:hAnsi="Times New Roman" w:cs="Times New Roman"/>
                <w:b/>
                <w:bCs/>
                <w:sz w:val="24"/>
                <w:szCs w:val="24"/>
              </w:rPr>
              <w:br/>
              <w:t>Points</w:t>
            </w:r>
          </w:p>
        </w:tc>
      </w:tr>
      <w:tr w:rsidR="00A96EFC" w:rsidRPr="00A96EFC" w14:paraId="3C580673"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F2F37D"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CLAS 205</w:t>
            </w:r>
          </w:p>
        </w:tc>
        <w:tc>
          <w:tcPr>
            <w:tcW w:w="0" w:type="auto"/>
            <w:tcBorders>
              <w:top w:val="outset" w:sz="6" w:space="0" w:color="auto"/>
              <w:left w:val="outset" w:sz="6" w:space="0" w:color="auto"/>
              <w:bottom w:val="outset" w:sz="6" w:space="0" w:color="auto"/>
              <w:right w:val="outset" w:sz="6" w:space="0" w:color="auto"/>
            </w:tcBorders>
            <w:vAlign w:val="center"/>
            <w:hideMark/>
          </w:tcPr>
          <w:p w14:paraId="2773EF5C"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25B25418"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CR</w:t>
            </w:r>
          </w:p>
        </w:tc>
        <w:tc>
          <w:tcPr>
            <w:tcW w:w="0" w:type="auto"/>
            <w:tcBorders>
              <w:top w:val="outset" w:sz="6" w:space="0" w:color="auto"/>
              <w:left w:val="outset" w:sz="6" w:space="0" w:color="auto"/>
              <w:bottom w:val="outset" w:sz="6" w:space="0" w:color="auto"/>
              <w:right w:val="outset" w:sz="6" w:space="0" w:color="auto"/>
            </w:tcBorders>
            <w:vAlign w:val="center"/>
            <w:hideMark/>
          </w:tcPr>
          <w:p w14:paraId="4550F4FC"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DD34056" w14:textId="77777777" w:rsidR="00A96EFC" w:rsidRPr="00A96EFC" w:rsidRDefault="00A96EFC" w:rsidP="00A96EFC">
            <w:pPr>
              <w:spacing w:after="0" w:line="240" w:lineRule="auto"/>
              <w:rPr>
                <w:rFonts w:ascii="Times New Roman" w:eastAsia="Times New Roman" w:hAnsi="Times New Roman" w:cs="Times New Roman"/>
                <w:sz w:val="20"/>
                <w:szCs w:val="20"/>
              </w:rPr>
            </w:pPr>
          </w:p>
        </w:tc>
      </w:tr>
      <w:tr w:rsidR="00A96EFC" w:rsidRPr="00A96EFC" w14:paraId="5F16A29A"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FC3023"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OCEAN 101</w:t>
            </w:r>
          </w:p>
        </w:tc>
        <w:tc>
          <w:tcPr>
            <w:tcW w:w="0" w:type="auto"/>
            <w:tcBorders>
              <w:top w:val="outset" w:sz="6" w:space="0" w:color="auto"/>
              <w:left w:val="outset" w:sz="6" w:space="0" w:color="auto"/>
              <w:bottom w:val="outset" w:sz="6" w:space="0" w:color="auto"/>
              <w:right w:val="outset" w:sz="6" w:space="0" w:color="auto"/>
            </w:tcBorders>
            <w:vAlign w:val="center"/>
            <w:hideMark/>
          </w:tcPr>
          <w:p w14:paraId="40CF77B2"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22FBE5A"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14:paraId="2CA688F8"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BE158C1"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13.5</w:t>
            </w:r>
          </w:p>
        </w:tc>
      </w:tr>
      <w:tr w:rsidR="00A96EFC" w:rsidRPr="00A96EFC" w14:paraId="4336F7F1"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68DA85"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HIST 111</w:t>
            </w:r>
          </w:p>
        </w:tc>
        <w:tc>
          <w:tcPr>
            <w:tcW w:w="0" w:type="auto"/>
            <w:tcBorders>
              <w:top w:val="outset" w:sz="6" w:space="0" w:color="auto"/>
              <w:left w:val="outset" w:sz="6" w:space="0" w:color="auto"/>
              <w:bottom w:val="outset" w:sz="6" w:space="0" w:color="auto"/>
              <w:right w:val="outset" w:sz="6" w:space="0" w:color="auto"/>
            </w:tcBorders>
            <w:vAlign w:val="center"/>
            <w:hideMark/>
          </w:tcPr>
          <w:p w14:paraId="0B93DB5D"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253375C"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14:paraId="0D7F9437"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265B754"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20.0</w:t>
            </w:r>
          </w:p>
        </w:tc>
      </w:tr>
      <w:tr w:rsidR="00A96EFC" w:rsidRPr="00A96EFC" w14:paraId="33B550FD"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D2BE14"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SCAND 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5D2E3D3"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667AF855"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3.3</w:t>
            </w:r>
          </w:p>
        </w:tc>
        <w:tc>
          <w:tcPr>
            <w:tcW w:w="0" w:type="auto"/>
            <w:tcBorders>
              <w:top w:val="outset" w:sz="6" w:space="0" w:color="auto"/>
              <w:left w:val="outset" w:sz="6" w:space="0" w:color="auto"/>
              <w:bottom w:val="outset" w:sz="6" w:space="0" w:color="auto"/>
              <w:right w:val="outset" w:sz="6" w:space="0" w:color="auto"/>
            </w:tcBorders>
            <w:vAlign w:val="center"/>
            <w:hideMark/>
          </w:tcPr>
          <w:p w14:paraId="1695B730"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8A16BE8"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6.6</w:t>
            </w:r>
          </w:p>
        </w:tc>
      </w:tr>
      <w:tr w:rsidR="00A96EFC" w:rsidRPr="00A96EFC" w14:paraId="3492554C" w14:textId="77777777" w:rsidTr="00A96EFC">
        <w:trPr>
          <w:tblCellSpacing w:w="15" w:type="dxa"/>
        </w:trPr>
        <w:tc>
          <w:tcPr>
            <w:tcW w:w="0" w:type="auto"/>
            <w:tcBorders>
              <w:top w:val="single" w:sz="6" w:space="0" w:color="CCCCCC"/>
              <w:left w:val="outset" w:sz="6" w:space="0" w:color="auto"/>
              <w:bottom w:val="outset" w:sz="6" w:space="0" w:color="auto"/>
              <w:right w:val="outset" w:sz="6" w:space="0" w:color="auto"/>
            </w:tcBorders>
            <w:vAlign w:val="center"/>
            <w:hideMark/>
          </w:tcPr>
          <w:p w14:paraId="4DF0CC1B"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Total credits earned toward graduation</w:t>
            </w:r>
          </w:p>
        </w:tc>
        <w:tc>
          <w:tcPr>
            <w:tcW w:w="0" w:type="auto"/>
            <w:tcBorders>
              <w:top w:val="single" w:sz="6" w:space="0" w:color="CCCCCC"/>
              <w:left w:val="outset" w:sz="6" w:space="0" w:color="auto"/>
              <w:bottom w:val="outset" w:sz="6" w:space="0" w:color="auto"/>
              <w:right w:val="outset" w:sz="6" w:space="0" w:color="auto"/>
            </w:tcBorders>
            <w:vAlign w:val="center"/>
            <w:hideMark/>
          </w:tcPr>
          <w:p w14:paraId="29D30B9D"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15</w:t>
            </w:r>
          </w:p>
        </w:tc>
        <w:tc>
          <w:tcPr>
            <w:tcW w:w="0" w:type="auto"/>
            <w:tcBorders>
              <w:top w:val="single" w:sz="6" w:space="0" w:color="CCCCCC"/>
              <w:left w:val="outset" w:sz="6" w:space="0" w:color="auto"/>
              <w:bottom w:val="outset" w:sz="6" w:space="0" w:color="auto"/>
              <w:right w:val="outset" w:sz="6" w:space="0" w:color="auto"/>
            </w:tcBorders>
            <w:vAlign w:val="center"/>
            <w:hideMark/>
          </w:tcPr>
          <w:p w14:paraId="20715DC7"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p>
        </w:tc>
        <w:tc>
          <w:tcPr>
            <w:tcW w:w="0" w:type="auto"/>
            <w:tcBorders>
              <w:top w:val="single" w:sz="6" w:space="0" w:color="CCCCCC"/>
              <w:left w:val="outset" w:sz="6" w:space="0" w:color="auto"/>
              <w:bottom w:val="outset" w:sz="6" w:space="0" w:color="auto"/>
              <w:right w:val="outset" w:sz="6" w:space="0" w:color="auto"/>
            </w:tcBorders>
            <w:vAlign w:val="center"/>
            <w:hideMark/>
          </w:tcPr>
          <w:p w14:paraId="382769AB" w14:textId="77777777" w:rsidR="00A96EFC" w:rsidRPr="00A96EFC" w:rsidRDefault="00A96EFC" w:rsidP="00A96EF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outset" w:sz="6" w:space="0" w:color="auto"/>
              <w:bottom w:val="outset" w:sz="6" w:space="0" w:color="auto"/>
              <w:right w:val="outset" w:sz="6" w:space="0" w:color="auto"/>
            </w:tcBorders>
            <w:vAlign w:val="center"/>
            <w:hideMark/>
          </w:tcPr>
          <w:p w14:paraId="5B0D9ECF" w14:textId="77777777" w:rsidR="00A96EFC" w:rsidRPr="00A96EFC" w:rsidRDefault="00A96EFC" w:rsidP="00A96EFC">
            <w:pPr>
              <w:spacing w:after="0" w:line="240" w:lineRule="auto"/>
              <w:rPr>
                <w:rFonts w:ascii="Times New Roman" w:eastAsia="Times New Roman" w:hAnsi="Times New Roman" w:cs="Times New Roman"/>
                <w:sz w:val="20"/>
                <w:szCs w:val="20"/>
              </w:rPr>
            </w:pPr>
          </w:p>
        </w:tc>
      </w:tr>
      <w:tr w:rsidR="00A96EFC" w:rsidRPr="00A96EFC" w14:paraId="57956825"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DF263D"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Total graded credits attempted</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AE600"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4DE660F2"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A2200AE" w14:textId="77777777" w:rsidR="00A96EFC" w:rsidRPr="00A96EFC" w:rsidRDefault="00A96EFC" w:rsidP="00A96EFC">
            <w:pPr>
              <w:spacing w:after="0" w:line="240" w:lineRule="auto"/>
              <w:rPr>
                <w:rFonts w:ascii="Times New Roman" w:eastAsia="Times New Roman" w:hAnsi="Times New Roman"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580C1BE"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40.1</w:t>
            </w:r>
          </w:p>
        </w:tc>
      </w:tr>
    </w:tbl>
    <w:p w14:paraId="19C93048"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GPA = 40.1 ÷ 12 = 3.34</w:t>
      </w:r>
    </w:p>
    <w:p w14:paraId="564DEFA7"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The total graded credits attempted, not the credits earned toward graduation, are used in computing the GPA.</w:t>
      </w:r>
    </w:p>
    <w:tbl>
      <w:tblPr>
        <w:tblW w:w="6000"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21"/>
        <w:gridCol w:w="850"/>
        <w:gridCol w:w="744"/>
        <w:gridCol w:w="226"/>
        <w:gridCol w:w="759"/>
      </w:tblGrid>
      <w:tr w:rsidR="00A96EFC" w:rsidRPr="00A96EFC" w14:paraId="38BFE61E" w14:textId="77777777" w:rsidTr="00A96EFC">
        <w:trPr>
          <w:tblCellSpacing w:w="15" w:type="dxa"/>
        </w:trPr>
        <w:tc>
          <w:tcPr>
            <w:tcW w:w="0" w:type="auto"/>
            <w:gridSpan w:val="5"/>
            <w:tcBorders>
              <w:top w:val="nil"/>
              <w:left w:val="nil"/>
              <w:bottom w:val="nil"/>
              <w:right w:val="nil"/>
            </w:tcBorders>
            <w:vAlign w:val="center"/>
            <w:hideMark/>
          </w:tcPr>
          <w:p w14:paraId="06EFCE09"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EXAMPLE 2</w:t>
            </w:r>
            <w:r w:rsidRPr="00A96EFC">
              <w:rPr>
                <w:rFonts w:ascii="Times New Roman" w:eastAsia="Times New Roman" w:hAnsi="Times New Roman" w:cs="Times New Roman"/>
                <w:sz w:val="24"/>
                <w:szCs w:val="24"/>
              </w:rPr>
              <w:t xml:space="preserve"> </w:t>
            </w:r>
          </w:p>
        </w:tc>
      </w:tr>
      <w:tr w:rsidR="00A96EFC" w:rsidRPr="00A96EFC" w14:paraId="42AC23EC"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bottom"/>
            <w:hideMark/>
          </w:tcPr>
          <w:p w14:paraId="34EBE53D"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Course</w:t>
            </w:r>
          </w:p>
        </w:tc>
        <w:tc>
          <w:tcPr>
            <w:tcW w:w="0" w:type="auto"/>
            <w:tcBorders>
              <w:top w:val="outset" w:sz="6" w:space="0" w:color="auto"/>
              <w:left w:val="outset" w:sz="6" w:space="0" w:color="auto"/>
              <w:bottom w:val="outset" w:sz="6" w:space="0" w:color="auto"/>
              <w:right w:val="outset" w:sz="6" w:space="0" w:color="auto"/>
            </w:tcBorders>
            <w:vAlign w:val="bottom"/>
            <w:hideMark/>
          </w:tcPr>
          <w:p w14:paraId="58C634EB"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Credits</w:t>
            </w:r>
          </w:p>
        </w:tc>
        <w:tc>
          <w:tcPr>
            <w:tcW w:w="0" w:type="auto"/>
            <w:tcBorders>
              <w:top w:val="outset" w:sz="6" w:space="0" w:color="auto"/>
              <w:left w:val="outset" w:sz="6" w:space="0" w:color="auto"/>
              <w:bottom w:val="outset" w:sz="6" w:space="0" w:color="auto"/>
              <w:right w:val="outset" w:sz="6" w:space="0" w:color="auto"/>
            </w:tcBorders>
            <w:vAlign w:val="bottom"/>
            <w:hideMark/>
          </w:tcPr>
          <w:p w14:paraId="46E8FA74"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Grade</w:t>
            </w:r>
          </w:p>
        </w:tc>
        <w:tc>
          <w:tcPr>
            <w:tcW w:w="0" w:type="auto"/>
            <w:tcBorders>
              <w:top w:val="outset" w:sz="6" w:space="0" w:color="auto"/>
              <w:left w:val="outset" w:sz="6" w:space="0" w:color="auto"/>
              <w:bottom w:val="outset" w:sz="6" w:space="0" w:color="auto"/>
              <w:right w:val="outset" w:sz="6" w:space="0" w:color="auto"/>
            </w:tcBorders>
            <w:vAlign w:val="center"/>
            <w:hideMark/>
          </w:tcPr>
          <w:p w14:paraId="72DD213C"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2850E69F" w14:textId="77777777" w:rsidR="00A96EFC" w:rsidRPr="00A96EFC" w:rsidRDefault="00A96EFC" w:rsidP="00A96EFC">
            <w:pPr>
              <w:spacing w:after="0" w:line="240" w:lineRule="auto"/>
              <w:jc w:val="center"/>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Grade</w:t>
            </w:r>
            <w:r w:rsidRPr="00A96EFC">
              <w:rPr>
                <w:rFonts w:ascii="Times New Roman" w:eastAsia="Times New Roman" w:hAnsi="Times New Roman" w:cs="Times New Roman"/>
                <w:b/>
                <w:bCs/>
                <w:sz w:val="24"/>
                <w:szCs w:val="24"/>
              </w:rPr>
              <w:br/>
              <w:t>Points</w:t>
            </w:r>
          </w:p>
        </w:tc>
      </w:tr>
      <w:tr w:rsidR="00A96EFC" w:rsidRPr="00A96EFC" w14:paraId="6079A958"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EAFD7C"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ENGL 121</w:t>
            </w:r>
          </w:p>
        </w:tc>
        <w:tc>
          <w:tcPr>
            <w:tcW w:w="0" w:type="auto"/>
            <w:tcBorders>
              <w:top w:val="outset" w:sz="6" w:space="0" w:color="auto"/>
              <w:left w:val="outset" w:sz="6" w:space="0" w:color="auto"/>
              <w:bottom w:val="outset" w:sz="6" w:space="0" w:color="auto"/>
              <w:right w:val="outset" w:sz="6" w:space="0" w:color="auto"/>
            </w:tcBorders>
            <w:vAlign w:val="center"/>
            <w:hideMark/>
          </w:tcPr>
          <w:p w14:paraId="320B5557"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77D5B588"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14:paraId="5CA214D2"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105A437"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11.5</w:t>
            </w:r>
          </w:p>
        </w:tc>
      </w:tr>
      <w:tr w:rsidR="00A96EFC" w:rsidRPr="00A96EFC" w14:paraId="2003148D"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628D3B"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OCEAN 101</w:t>
            </w:r>
          </w:p>
        </w:tc>
        <w:tc>
          <w:tcPr>
            <w:tcW w:w="0" w:type="auto"/>
            <w:tcBorders>
              <w:top w:val="outset" w:sz="6" w:space="0" w:color="auto"/>
              <w:left w:val="outset" w:sz="6" w:space="0" w:color="auto"/>
              <w:bottom w:val="outset" w:sz="6" w:space="0" w:color="auto"/>
              <w:right w:val="outset" w:sz="6" w:space="0" w:color="auto"/>
            </w:tcBorders>
            <w:vAlign w:val="center"/>
            <w:hideMark/>
          </w:tcPr>
          <w:p w14:paraId="7DD0D85C"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0095002"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04F500B"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DBE7E60"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0.0</w:t>
            </w:r>
          </w:p>
        </w:tc>
      </w:tr>
      <w:tr w:rsidR="00A96EFC" w:rsidRPr="00A96EFC" w14:paraId="68B0A0E0"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381960"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SPHSC 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323B89"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3222D16F"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14:paraId="7CC960EB"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4981028"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8.1</w:t>
            </w:r>
          </w:p>
        </w:tc>
      </w:tr>
      <w:tr w:rsidR="00A96EFC" w:rsidRPr="00A96EFC" w14:paraId="07209A15"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18A31D"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ART 121</w:t>
            </w:r>
          </w:p>
        </w:tc>
        <w:tc>
          <w:tcPr>
            <w:tcW w:w="0" w:type="auto"/>
            <w:tcBorders>
              <w:top w:val="outset" w:sz="6" w:space="0" w:color="auto"/>
              <w:left w:val="outset" w:sz="6" w:space="0" w:color="auto"/>
              <w:bottom w:val="outset" w:sz="6" w:space="0" w:color="auto"/>
              <w:right w:val="outset" w:sz="6" w:space="0" w:color="auto"/>
            </w:tcBorders>
            <w:vAlign w:val="center"/>
            <w:hideMark/>
          </w:tcPr>
          <w:p w14:paraId="5B368565"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55A8692E"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I</w:t>
            </w:r>
          </w:p>
        </w:tc>
        <w:tc>
          <w:tcPr>
            <w:tcW w:w="0" w:type="auto"/>
            <w:tcBorders>
              <w:top w:val="outset" w:sz="6" w:space="0" w:color="auto"/>
              <w:left w:val="outset" w:sz="6" w:space="0" w:color="auto"/>
              <w:bottom w:val="outset" w:sz="6" w:space="0" w:color="auto"/>
              <w:right w:val="outset" w:sz="6" w:space="0" w:color="auto"/>
            </w:tcBorders>
            <w:vAlign w:val="center"/>
            <w:hideMark/>
          </w:tcPr>
          <w:p w14:paraId="38D7DC5C"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C2D764F"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0.0</w:t>
            </w:r>
          </w:p>
        </w:tc>
      </w:tr>
      <w:tr w:rsidR="00A96EFC" w:rsidRPr="00A96EFC" w14:paraId="61FEAB82" w14:textId="77777777" w:rsidTr="00A96EFC">
        <w:trPr>
          <w:tblCellSpacing w:w="15" w:type="dxa"/>
        </w:trPr>
        <w:tc>
          <w:tcPr>
            <w:tcW w:w="0" w:type="auto"/>
            <w:tcBorders>
              <w:top w:val="single" w:sz="6" w:space="0" w:color="CCCCCC"/>
              <w:left w:val="outset" w:sz="6" w:space="0" w:color="auto"/>
              <w:bottom w:val="outset" w:sz="6" w:space="0" w:color="auto"/>
              <w:right w:val="outset" w:sz="6" w:space="0" w:color="auto"/>
            </w:tcBorders>
            <w:vAlign w:val="center"/>
            <w:hideMark/>
          </w:tcPr>
          <w:p w14:paraId="08C3C1E4"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Total credits earned toward graduation </w:t>
            </w:r>
          </w:p>
        </w:tc>
        <w:tc>
          <w:tcPr>
            <w:tcW w:w="0" w:type="auto"/>
            <w:tcBorders>
              <w:top w:val="single" w:sz="6" w:space="0" w:color="CCCCCC"/>
              <w:left w:val="outset" w:sz="6" w:space="0" w:color="auto"/>
              <w:bottom w:val="outset" w:sz="6" w:space="0" w:color="auto"/>
              <w:right w:val="outset" w:sz="6" w:space="0" w:color="auto"/>
            </w:tcBorders>
            <w:vAlign w:val="center"/>
            <w:hideMark/>
          </w:tcPr>
          <w:p w14:paraId="58F20C63"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8</w:t>
            </w:r>
          </w:p>
        </w:tc>
        <w:tc>
          <w:tcPr>
            <w:tcW w:w="0" w:type="auto"/>
            <w:tcBorders>
              <w:top w:val="single" w:sz="6" w:space="0" w:color="CCCCCC"/>
              <w:left w:val="outset" w:sz="6" w:space="0" w:color="auto"/>
              <w:bottom w:val="outset" w:sz="6" w:space="0" w:color="auto"/>
              <w:right w:val="outset" w:sz="6" w:space="0" w:color="auto"/>
            </w:tcBorders>
            <w:vAlign w:val="center"/>
            <w:hideMark/>
          </w:tcPr>
          <w:p w14:paraId="58D21385"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p>
        </w:tc>
        <w:tc>
          <w:tcPr>
            <w:tcW w:w="0" w:type="auto"/>
            <w:tcBorders>
              <w:top w:val="single" w:sz="6" w:space="0" w:color="CCCCCC"/>
              <w:left w:val="outset" w:sz="6" w:space="0" w:color="auto"/>
              <w:bottom w:val="outset" w:sz="6" w:space="0" w:color="auto"/>
              <w:right w:val="outset" w:sz="6" w:space="0" w:color="auto"/>
            </w:tcBorders>
            <w:vAlign w:val="center"/>
            <w:hideMark/>
          </w:tcPr>
          <w:p w14:paraId="0E43C231" w14:textId="77777777" w:rsidR="00A96EFC" w:rsidRPr="00A96EFC" w:rsidRDefault="00A96EFC" w:rsidP="00A96EFC">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outset" w:sz="6" w:space="0" w:color="auto"/>
              <w:bottom w:val="outset" w:sz="6" w:space="0" w:color="auto"/>
              <w:right w:val="outset" w:sz="6" w:space="0" w:color="auto"/>
            </w:tcBorders>
            <w:vAlign w:val="center"/>
            <w:hideMark/>
          </w:tcPr>
          <w:p w14:paraId="587D825A" w14:textId="77777777" w:rsidR="00A96EFC" w:rsidRPr="00A96EFC" w:rsidRDefault="00A96EFC" w:rsidP="00A96EFC">
            <w:pPr>
              <w:spacing w:after="0" w:line="240" w:lineRule="auto"/>
              <w:rPr>
                <w:rFonts w:ascii="Times New Roman" w:eastAsia="Times New Roman" w:hAnsi="Times New Roman" w:cs="Times New Roman"/>
                <w:sz w:val="20"/>
                <w:szCs w:val="20"/>
              </w:rPr>
            </w:pPr>
          </w:p>
        </w:tc>
      </w:tr>
      <w:tr w:rsidR="00A96EFC" w:rsidRPr="00A96EFC" w14:paraId="29EAA9AA" w14:textId="77777777" w:rsidTr="00A96EF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067AE3" w14:textId="77777777" w:rsidR="00A96EFC" w:rsidRPr="00A96EFC" w:rsidRDefault="00A96EFC" w:rsidP="00A96EFC">
            <w:pPr>
              <w:spacing w:after="0"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Total graded credits attempted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A51614"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514CDF46"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D1E6164" w14:textId="77777777" w:rsidR="00A96EFC" w:rsidRPr="00A96EFC" w:rsidRDefault="00A96EFC" w:rsidP="00A96EFC">
            <w:pPr>
              <w:spacing w:after="0" w:line="240" w:lineRule="auto"/>
              <w:rPr>
                <w:rFonts w:ascii="Times New Roman" w:eastAsia="Times New Roman" w:hAnsi="Times New Roman"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18AEE73" w14:textId="77777777" w:rsidR="00A96EFC" w:rsidRPr="00A96EFC" w:rsidRDefault="00A96EFC" w:rsidP="00A96EFC">
            <w:pPr>
              <w:spacing w:after="0" w:line="240" w:lineRule="auto"/>
              <w:jc w:val="center"/>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19.6</w:t>
            </w:r>
          </w:p>
        </w:tc>
      </w:tr>
    </w:tbl>
    <w:p w14:paraId="2A7BAA36"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b/>
          <w:bCs/>
          <w:sz w:val="24"/>
          <w:szCs w:val="24"/>
        </w:rPr>
        <w:t>GPA = 19.6 ÷ 13 = 1.51</w:t>
      </w:r>
    </w:p>
    <w:p w14:paraId="653DB015"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lastRenderedPageBreak/>
        <w:t xml:space="preserve">The student attempted 18 credits, but only 13 are graded, because the Incomplete </w:t>
      </w:r>
      <w:r w:rsidRPr="00A96EFC">
        <w:rPr>
          <w:rFonts w:ascii="Times New Roman" w:eastAsia="Times New Roman" w:hAnsi="Times New Roman" w:cs="Times New Roman"/>
          <w:i/>
          <w:iCs/>
          <w:sz w:val="24"/>
          <w:szCs w:val="24"/>
        </w:rPr>
        <w:t>(I)</w:t>
      </w:r>
      <w:r w:rsidRPr="00A96EFC">
        <w:rPr>
          <w:rFonts w:ascii="Times New Roman" w:eastAsia="Times New Roman" w:hAnsi="Times New Roman" w:cs="Times New Roman"/>
          <w:sz w:val="24"/>
          <w:szCs w:val="24"/>
        </w:rPr>
        <w:t xml:space="preserve"> is not computed in the GPA. The 0.0 for OCEAN 101 is computed in the GPA, but no credit is awarded toward graduation.</w:t>
      </w:r>
    </w:p>
    <w:p w14:paraId="0A990700"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If the work in ART 121 is not made up by the end of the next quarter, the </w:t>
      </w:r>
      <w:r w:rsidRPr="00A96EFC">
        <w:rPr>
          <w:rFonts w:ascii="Times New Roman" w:eastAsia="Times New Roman" w:hAnsi="Times New Roman" w:cs="Times New Roman"/>
          <w:i/>
          <w:iCs/>
          <w:sz w:val="24"/>
          <w:szCs w:val="24"/>
        </w:rPr>
        <w:t>I</w:t>
      </w:r>
      <w:r w:rsidRPr="00A96EFC">
        <w:rPr>
          <w:rFonts w:ascii="Times New Roman" w:eastAsia="Times New Roman" w:hAnsi="Times New Roman" w:cs="Times New Roman"/>
          <w:sz w:val="24"/>
          <w:szCs w:val="24"/>
        </w:rPr>
        <w:t xml:space="preserve"> is converted to a numeric grade and the GPA is recomputed.</w:t>
      </w:r>
    </w:p>
    <w:p w14:paraId="2BAE37A9" w14:textId="77777777" w:rsidR="00A96EFC" w:rsidRPr="00A96EFC" w:rsidRDefault="00A96EFC" w:rsidP="00A96EFC">
      <w:pPr>
        <w:spacing w:before="100" w:beforeAutospacing="1" w:after="100" w:afterAutospacing="1" w:line="240" w:lineRule="auto"/>
        <w:outlineLvl w:val="2"/>
        <w:rPr>
          <w:rFonts w:ascii="Times New Roman" w:eastAsia="Times New Roman" w:hAnsi="Times New Roman" w:cs="Times New Roman"/>
          <w:b/>
          <w:bCs/>
          <w:sz w:val="27"/>
          <w:szCs w:val="27"/>
        </w:rPr>
      </w:pPr>
      <w:r w:rsidRPr="00A96EFC">
        <w:rPr>
          <w:rFonts w:ascii="Times New Roman" w:eastAsia="Times New Roman" w:hAnsi="Times New Roman" w:cs="Times New Roman"/>
          <w:b/>
          <w:bCs/>
          <w:sz w:val="27"/>
          <w:szCs w:val="27"/>
        </w:rPr>
        <w:t>Repeating Courses</w:t>
      </w:r>
    </w:p>
    <w:p w14:paraId="559A0BC3" w14:textId="77777777" w:rsidR="00A96EFC" w:rsidRPr="00A96EFC" w:rsidRDefault="00A96EFC" w:rsidP="00A96EFC">
      <w:pPr>
        <w:spacing w:before="100" w:beforeAutospacing="1" w:after="100" w:afterAutospacing="1" w:line="240" w:lineRule="auto"/>
        <w:outlineLvl w:val="3"/>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Undergraduates</w:t>
      </w:r>
    </w:p>
    <w:p w14:paraId="11C2089E"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With the approval of the academic department offering the course, an undergraduate may repeat a course once. Both the original grade and the second grade are computed in the </w:t>
      </w:r>
      <w:proofErr w:type="gramStart"/>
      <w:r w:rsidRPr="00A96EFC">
        <w:rPr>
          <w:rFonts w:ascii="Times New Roman" w:eastAsia="Times New Roman" w:hAnsi="Times New Roman" w:cs="Times New Roman"/>
          <w:sz w:val="24"/>
          <w:szCs w:val="24"/>
        </w:rPr>
        <w:t>GPA</w:t>
      </w:r>
      <w:proofErr w:type="gramEnd"/>
      <w:r w:rsidRPr="00A96EFC">
        <w:rPr>
          <w:rFonts w:ascii="Times New Roman" w:eastAsia="Times New Roman" w:hAnsi="Times New Roman" w:cs="Times New Roman"/>
          <w:sz w:val="24"/>
          <w:szCs w:val="24"/>
        </w:rPr>
        <w:t xml:space="preserve"> but credit is allowed only once. Veterans receiving benefits must receive approval from the Office of Special Services before a course is repeated.</w:t>
      </w:r>
    </w:p>
    <w:p w14:paraId="5BD14188" w14:textId="77777777" w:rsidR="00A96EFC" w:rsidRPr="00A96EFC" w:rsidRDefault="00A96EFC" w:rsidP="00A96EFC">
      <w:pPr>
        <w:spacing w:before="100" w:beforeAutospacing="1" w:after="100" w:afterAutospacing="1" w:line="240" w:lineRule="auto"/>
        <w:outlineLvl w:val="3"/>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Graduates</w:t>
      </w:r>
    </w:p>
    <w:p w14:paraId="05CBD7BA"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Graduate students may repeat any course. Both the original grade and the second grade are computed in the GPA. Subsequent grades will not be </w:t>
      </w:r>
      <w:proofErr w:type="gramStart"/>
      <w:r w:rsidRPr="00A96EFC">
        <w:rPr>
          <w:rFonts w:ascii="Times New Roman" w:eastAsia="Times New Roman" w:hAnsi="Times New Roman" w:cs="Times New Roman"/>
          <w:sz w:val="24"/>
          <w:szCs w:val="24"/>
        </w:rPr>
        <w:t>included, but</w:t>
      </w:r>
      <w:proofErr w:type="gramEnd"/>
      <w:r w:rsidRPr="00A96EFC">
        <w:rPr>
          <w:rFonts w:ascii="Times New Roman" w:eastAsia="Times New Roman" w:hAnsi="Times New Roman" w:cs="Times New Roman"/>
          <w:sz w:val="24"/>
          <w:szCs w:val="24"/>
        </w:rPr>
        <w:t xml:space="preserve"> will appear on the permanent record. The number of credits earned in the course will apply toward degree requirements only once. Veterans receiving benefits must receive approval from the Office of Special Services before a course is repeated.</w:t>
      </w:r>
    </w:p>
    <w:p w14:paraId="781F9B76"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Review </w:t>
      </w:r>
      <w:hyperlink r:id="rId15" w:history="1">
        <w:r w:rsidRPr="00A96EFC">
          <w:rPr>
            <w:rFonts w:ascii="Times New Roman" w:eastAsia="Times New Roman" w:hAnsi="Times New Roman" w:cs="Times New Roman"/>
            <w:color w:val="0000FF"/>
            <w:sz w:val="24"/>
            <w:szCs w:val="24"/>
            <w:u w:val="single"/>
          </w:rPr>
          <w:t>Registration Restrictions</w:t>
        </w:r>
      </w:hyperlink>
      <w:r w:rsidRPr="00A96EFC">
        <w:rPr>
          <w:rFonts w:ascii="Times New Roman" w:eastAsia="Times New Roman" w:hAnsi="Times New Roman" w:cs="Times New Roman"/>
          <w:sz w:val="24"/>
          <w:szCs w:val="24"/>
        </w:rPr>
        <w:t xml:space="preserve"> for additional information about repeating courses.</w:t>
      </w:r>
    </w:p>
    <w:p w14:paraId="6F9BF41A" w14:textId="77777777" w:rsidR="00A96EFC" w:rsidRPr="00A96EFC" w:rsidRDefault="00A96EFC" w:rsidP="00A96EFC">
      <w:pPr>
        <w:spacing w:before="100" w:beforeAutospacing="1" w:after="100" w:afterAutospacing="1" w:line="240" w:lineRule="auto"/>
        <w:outlineLvl w:val="1"/>
        <w:rPr>
          <w:rFonts w:ascii="Times New Roman" w:eastAsia="Times New Roman" w:hAnsi="Times New Roman" w:cs="Times New Roman"/>
          <w:b/>
          <w:bCs/>
          <w:sz w:val="36"/>
          <w:szCs w:val="36"/>
        </w:rPr>
      </w:pPr>
      <w:r w:rsidRPr="00A96EFC">
        <w:rPr>
          <w:rFonts w:ascii="Times New Roman" w:eastAsia="Times New Roman" w:hAnsi="Times New Roman" w:cs="Times New Roman"/>
          <w:b/>
          <w:bCs/>
          <w:sz w:val="36"/>
          <w:szCs w:val="36"/>
        </w:rPr>
        <w:t>Grading Procedures</w:t>
      </w:r>
    </w:p>
    <w:p w14:paraId="4CF07B90" w14:textId="77777777" w:rsidR="00A96EFC" w:rsidRPr="00A96EFC" w:rsidRDefault="00A96EFC" w:rsidP="00A96EFC">
      <w:pPr>
        <w:spacing w:before="100" w:beforeAutospacing="1" w:after="100" w:afterAutospacing="1" w:line="240" w:lineRule="auto"/>
        <w:outlineLvl w:val="2"/>
        <w:rPr>
          <w:rFonts w:ascii="Times New Roman" w:eastAsia="Times New Roman" w:hAnsi="Times New Roman" w:cs="Times New Roman"/>
          <w:b/>
          <w:bCs/>
          <w:sz w:val="27"/>
          <w:szCs w:val="27"/>
        </w:rPr>
      </w:pPr>
      <w:r w:rsidRPr="00A96EFC">
        <w:rPr>
          <w:rFonts w:ascii="Times New Roman" w:eastAsia="Times New Roman" w:hAnsi="Times New Roman" w:cs="Times New Roman"/>
          <w:b/>
          <w:bCs/>
          <w:sz w:val="27"/>
          <w:szCs w:val="27"/>
        </w:rPr>
        <w:t>Change of Grade</w:t>
      </w:r>
    </w:p>
    <w:p w14:paraId="40C10F5D"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Except in case of error, no instructor may change a grade that he or she has turned in to the Registrar. Grades cannot be changed after a degree has been granted.</w:t>
      </w:r>
    </w:p>
    <w:p w14:paraId="49774AA3" w14:textId="77777777" w:rsidR="00A96EFC" w:rsidRPr="00A96EFC" w:rsidRDefault="00A96EFC" w:rsidP="00A96EFC">
      <w:pPr>
        <w:spacing w:before="100" w:beforeAutospacing="1" w:after="100" w:afterAutospacing="1" w:line="240" w:lineRule="auto"/>
        <w:outlineLvl w:val="3"/>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Grade Appeal Procedure</w:t>
      </w:r>
    </w:p>
    <w:p w14:paraId="00771F9E"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A student who believes that the instructor erred in the assignment of a grade, or who believes a grade recording error or omission has occurred, shall first discuss the matter with the instructor before the end of the following academic quarter (not including Summer Quarter.)</w:t>
      </w:r>
    </w:p>
    <w:p w14:paraId="7504A00D"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If the student is not satisfied with the instructor's explanation, the student, no later than ten days after his or her discussion with the instructor, may submit a written appeal to the chair of the department, or in a </w:t>
      </w:r>
      <w:proofErr w:type="spellStart"/>
      <w:r w:rsidRPr="00A96EFC">
        <w:rPr>
          <w:rFonts w:ascii="Times New Roman" w:eastAsia="Times New Roman" w:hAnsi="Times New Roman" w:cs="Times New Roman"/>
          <w:sz w:val="24"/>
          <w:szCs w:val="24"/>
        </w:rPr>
        <w:t>nondepartmental</w:t>
      </w:r>
      <w:proofErr w:type="spellEnd"/>
      <w:r w:rsidRPr="00A96EFC">
        <w:rPr>
          <w:rFonts w:ascii="Times New Roman" w:eastAsia="Times New Roman" w:hAnsi="Times New Roman" w:cs="Times New Roman"/>
          <w:sz w:val="24"/>
          <w:szCs w:val="24"/>
        </w:rPr>
        <w:t xml:space="preserve"> college, to the dean, with a copy of the appeal also sent to the instructor. Within ten calendar days, the chair or dean consults with the instructor to ensure that the evaluation of the student's performance has not been arbitrary or capricious. Should the chair believe the instructor's conduct to be arbitrary or capricious and the instructor declines to revise the grade, the chair (or the dean in a </w:t>
      </w:r>
      <w:proofErr w:type="spellStart"/>
      <w:r w:rsidRPr="00A96EFC">
        <w:rPr>
          <w:rFonts w:ascii="Times New Roman" w:eastAsia="Times New Roman" w:hAnsi="Times New Roman" w:cs="Times New Roman"/>
          <w:sz w:val="24"/>
          <w:szCs w:val="24"/>
        </w:rPr>
        <w:t>nondepartmental</w:t>
      </w:r>
      <w:proofErr w:type="spellEnd"/>
      <w:r w:rsidRPr="00A96EFC">
        <w:rPr>
          <w:rFonts w:ascii="Times New Roman" w:eastAsia="Times New Roman" w:hAnsi="Times New Roman" w:cs="Times New Roman"/>
          <w:sz w:val="24"/>
          <w:szCs w:val="24"/>
        </w:rPr>
        <w:t xml:space="preserve"> school or college), with the approval </w:t>
      </w:r>
      <w:r w:rsidRPr="00A96EFC">
        <w:rPr>
          <w:rFonts w:ascii="Times New Roman" w:eastAsia="Times New Roman" w:hAnsi="Times New Roman" w:cs="Times New Roman"/>
          <w:sz w:val="24"/>
          <w:szCs w:val="24"/>
        </w:rPr>
        <w:lastRenderedPageBreak/>
        <w:t>of the voting members of his or her faculty, shall appoint an appropriate member, or members, of the faculty of that department to evaluate the performance of the student and assign a grade. The dean and Provost should be informed of this action.</w:t>
      </w:r>
    </w:p>
    <w:p w14:paraId="4D7D00A5"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Once a student submits a written appeal, this document and all subsequent actions on this appeal are recorded in written form for deposit in a department or college file.</w:t>
      </w:r>
    </w:p>
    <w:p w14:paraId="4F8E8AF0"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Review Student Governance and Policies </w:t>
      </w:r>
      <w:hyperlink r:id="rId16" w:anchor="2" w:tgtFrame="_blank" w:history="1">
        <w:r w:rsidRPr="00A96EFC">
          <w:rPr>
            <w:rFonts w:ascii="Times New Roman" w:eastAsia="Times New Roman" w:hAnsi="Times New Roman" w:cs="Times New Roman"/>
            <w:color w:val="0000FF"/>
            <w:sz w:val="24"/>
            <w:szCs w:val="24"/>
            <w:u w:val="single"/>
          </w:rPr>
          <w:t>Change of Grade - Written Appeal of Grade Error</w:t>
        </w:r>
      </w:hyperlink>
      <w:r w:rsidRPr="00A96EFC">
        <w:rPr>
          <w:rFonts w:ascii="Times New Roman" w:eastAsia="Times New Roman" w:hAnsi="Times New Roman" w:cs="Times New Roman"/>
          <w:sz w:val="24"/>
          <w:szCs w:val="24"/>
        </w:rPr>
        <w:t xml:space="preserve"> for additional information.</w:t>
      </w:r>
    </w:p>
    <w:p w14:paraId="2A750097" w14:textId="77777777" w:rsidR="00A96EFC" w:rsidRPr="00A96EFC" w:rsidRDefault="00A96EFC" w:rsidP="00A96EFC">
      <w:pPr>
        <w:spacing w:before="100" w:beforeAutospacing="1" w:after="100" w:afterAutospacing="1" w:line="240" w:lineRule="auto"/>
        <w:outlineLvl w:val="3"/>
        <w:rPr>
          <w:rFonts w:ascii="Times New Roman" w:eastAsia="Times New Roman" w:hAnsi="Times New Roman" w:cs="Times New Roman"/>
          <w:b/>
          <w:bCs/>
          <w:sz w:val="24"/>
          <w:szCs w:val="24"/>
        </w:rPr>
      </w:pPr>
      <w:r w:rsidRPr="00A96EFC">
        <w:rPr>
          <w:rFonts w:ascii="Times New Roman" w:eastAsia="Times New Roman" w:hAnsi="Times New Roman" w:cs="Times New Roman"/>
          <w:b/>
          <w:bCs/>
          <w:sz w:val="24"/>
          <w:szCs w:val="24"/>
        </w:rPr>
        <w:t>Grade Reports</w:t>
      </w:r>
    </w:p>
    <w:p w14:paraId="65A46DCE" w14:textId="77777777" w:rsidR="00A96EFC" w:rsidRPr="00A96EFC" w:rsidRDefault="00A96EFC" w:rsidP="00A96EFC">
      <w:pPr>
        <w:spacing w:before="100" w:beforeAutospacing="1" w:after="100" w:afterAutospacing="1" w:line="240" w:lineRule="auto"/>
        <w:rPr>
          <w:rFonts w:ascii="Times New Roman" w:eastAsia="Times New Roman" w:hAnsi="Times New Roman" w:cs="Times New Roman"/>
          <w:sz w:val="24"/>
          <w:szCs w:val="24"/>
        </w:rPr>
      </w:pPr>
      <w:r w:rsidRPr="00A96EFC">
        <w:rPr>
          <w:rFonts w:ascii="Times New Roman" w:eastAsia="Times New Roman" w:hAnsi="Times New Roman" w:cs="Times New Roman"/>
          <w:sz w:val="24"/>
          <w:szCs w:val="24"/>
        </w:rPr>
        <w:t xml:space="preserve">Grades are not mailed. Students may view and print a grade report through </w:t>
      </w:r>
      <w:hyperlink r:id="rId17" w:tgtFrame="_blank" w:history="1">
        <w:proofErr w:type="spellStart"/>
        <w:r w:rsidRPr="00A96EFC">
          <w:rPr>
            <w:rFonts w:ascii="Times New Roman" w:eastAsia="Times New Roman" w:hAnsi="Times New Roman" w:cs="Times New Roman"/>
            <w:color w:val="0000FF"/>
            <w:sz w:val="24"/>
            <w:szCs w:val="24"/>
            <w:u w:val="single"/>
          </w:rPr>
          <w:t>MyUW</w:t>
        </w:r>
        <w:proofErr w:type="spellEnd"/>
      </w:hyperlink>
      <w:r w:rsidRPr="00A96EFC">
        <w:rPr>
          <w:rFonts w:ascii="Times New Roman" w:eastAsia="Times New Roman" w:hAnsi="Times New Roman" w:cs="Times New Roman"/>
          <w:sz w:val="24"/>
          <w:szCs w:val="24"/>
        </w:rPr>
        <w:t>.</w:t>
      </w:r>
    </w:p>
    <w:p w14:paraId="70156694" w14:textId="67E8D023" w:rsidR="00A96EFC" w:rsidRDefault="00A96EFC">
      <w:r>
        <w:t xml:space="preserve">(Source: </w:t>
      </w:r>
      <w:hyperlink r:id="rId18" w:history="1">
        <w:r w:rsidRPr="00327C79">
          <w:rPr>
            <w:rStyle w:val="Hyperlink"/>
          </w:rPr>
          <w:t>https://www.washington.edu/students/gencat/front/Grading_Sys.html</w:t>
        </w:r>
      </w:hyperlink>
      <w:r>
        <w:t xml:space="preserve">) </w:t>
      </w:r>
    </w:p>
    <w:sectPr w:rsidR="00A96E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8C4D06"/>
    <w:multiLevelType w:val="multilevel"/>
    <w:tmpl w:val="2BAE2A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EFC"/>
    <w:rsid w:val="00A96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B05CF"/>
  <w15:chartTrackingRefBased/>
  <w15:docId w15:val="{802F4580-8A87-41F1-B66B-635A9B53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96E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96E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96E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96EF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EF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96EF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96EF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96EFC"/>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A96EFC"/>
    <w:rPr>
      <w:color w:val="0000FF"/>
      <w:u w:val="single"/>
    </w:rPr>
  </w:style>
  <w:style w:type="paragraph" w:styleId="NormalWeb">
    <w:name w:val="Normal (Web)"/>
    <w:basedOn w:val="Normal"/>
    <w:uiPriority w:val="99"/>
    <w:semiHidden/>
    <w:unhideWhenUsed/>
    <w:rsid w:val="00A96E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6EFC"/>
    <w:rPr>
      <w:b/>
      <w:bCs/>
    </w:rPr>
  </w:style>
  <w:style w:type="character" w:styleId="Emphasis">
    <w:name w:val="Emphasis"/>
    <w:basedOn w:val="DefaultParagraphFont"/>
    <w:uiPriority w:val="20"/>
    <w:qFormat/>
    <w:rsid w:val="00A96EFC"/>
    <w:rPr>
      <w:i/>
      <w:iCs/>
    </w:rPr>
  </w:style>
  <w:style w:type="character" w:styleId="UnresolvedMention">
    <w:name w:val="Unresolved Mention"/>
    <w:basedOn w:val="DefaultParagraphFont"/>
    <w:uiPriority w:val="99"/>
    <w:semiHidden/>
    <w:unhideWhenUsed/>
    <w:rsid w:val="00A96E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127730">
      <w:bodyDiv w:val="1"/>
      <w:marLeft w:val="0"/>
      <w:marRight w:val="0"/>
      <w:marTop w:val="0"/>
      <w:marBottom w:val="0"/>
      <w:divBdr>
        <w:top w:val="none" w:sz="0" w:space="0" w:color="auto"/>
        <w:left w:val="none" w:sz="0" w:space="0" w:color="auto"/>
        <w:bottom w:val="none" w:sz="0" w:space="0" w:color="auto"/>
        <w:right w:val="none" w:sz="0" w:space="0" w:color="auto"/>
      </w:divBdr>
      <w:divsChild>
        <w:div w:id="30500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shington.edu/students/gencat/front/Grading_Sys.html" TargetMode="External"/><Relationship Id="rId13" Type="http://schemas.openxmlformats.org/officeDocument/2006/relationships/hyperlink" Target="https://www.washington.edu/students/reg/calendar.html" TargetMode="External"/><Relationship Id="rId18" Type="http://schemas.openxmlformats.org/officeDocument/2006/relationships/hyperlink" Target="https://www.washington.edu/students/gencat/front/Grading_Sys.html" TargetMode="External"/><Relationship Id="rId3" Type="http://schemas.openxmlformats.org/officeDocument/2006/relationships/settings" Target="settings.xml"/><Relationship Id="rId7" Type="http://schemas.openxmlformats.org/officeDocument/2006/relationships/hyperlink" Target="https://www.washington.edu/students/gencat/front/Grading_Sys.html" TargetMode="External"/><Relationship Id="rId12" Type="http://schemas.openxmlformats.org/officeDocument/2006/relationships/hyperlink" Target="https://my.uw.edu/" TargetMode="External"/><Relationship Id="rId17" Type="http://schemas.openxmlformats.org/officeDocument/2006/relationships/hyperlink" Target="https://my.uw.edu/" TargetMode="External"/><Relationship Id="rId2" Type="http://schemas.openxmlformats.org/officeDocument/2006/relationships/styles" Target="styles.xml"/><Relationship Id="rId16" Type="http://schemas.openxmlformats.org/officeDocument/2006/relationships/hyperlink" Target="https://www.washington.edu/admin/rules/policies/SGP/ScholRegCH110.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washington.edu/students/gencat/front/Grading_Sys.html" TargetMode="External"/><Relationship Id="rId11" Type="http://schemas.openxmlformats.org/officeDocument/2006/relationships/hyperlink" Target="https://www.washington.edu/maps/" TargetMode="External"/><Relationship Id="rId5" Type="http://schemas.openxmlformats.org/officeDocument/2006/relationships/hyperlink" Target="https://www.washington.edu/students/gencat/front/Grading_Sys.html" TargetMode="External"/><Relationship Id="rId15" Type="http://schemas.openxmlformats.org/officeDocument/2006/relationships/hyperlink" Target="https://registrar.washington.edu/registration/policies-procedures/" TargetMode="External"/><Relationship Id="rId10" Type="http://schemas.openxmlformats.org/officeDocument/2006/relationships/hyperlink" Target="https://grad.uw.edu/policies-procedures/graduate-school-memoranda/memo-19-grading-system-for-graduate-student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washington.edu/students/gencat/front/Grading_Sys.html" TargetMode="External"/><Relationship Id="rId14" Type="http://schemas.openxmlformats.org/officeDocument/2006/relationships/hyperlink" Target="mailto:petition@u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2242</Words>
  <Characters>12784</Characters>
  <Application>Microsoft Office Word</Application>
  <DocSecurity>0</DocSecurity>
  <Lines>106</Lines>
  <Paragraphs>29</Paragraphs>
  <ScaleCrop>false</ScaleCrop>
  <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 Simon</dc:creator>
  <cp:keywords/>
  <dc:description/>
  <cp:lastModifiedBy>Britta Simon</cp:lastModifiedBy>
  <cp:revision>1</cp:revision>
  <dcterms:created xsi:type="dcterms:W3CDTF">2022-03-04T22:51:00Z</dcterms:created>
  <dcterms:modified xsi:type="dcterms:W3CDTF">2022-03-04T22:52:00Z</dcterms:modified>
</cp:coreProperties>
</file>