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C31CD" w14:textId="5DB3760B" w:rsidR="00247F39" w:rsidRDefault="00AF0AD9" w:rsidP="00390CE2">
      <w:pPr>
        <w:jc w:val="both"/>
      </w:pPr>
      <w:proofErr w:type="spellStart"/>
      <w:r w:rsidRPr="002A4657">
        <w:rPr>
          <w:b/>
          <w:bCs/>
          <w:i/>
          <w:iCs/>
        </w:rPr>
        <w:t>Gastropolítica</w:t>
      </w:r>
      <w:proofErr w:type="spellEnd"/>
      <w:r w:rsidRPr="002A4657">
        <w:rPr>
          <w:b/>
          <w:bCs/>
          <w:i/>
          <w:iCs/>
        </w:rPr>
        <w:t xml:space="preserve">. Una mirada alternativa al auge de la cocina </w:t>
      </w:r>
      <w:r>
        <w:t>peruana (Lim</w:t>
      </w:r>
      <w:r w:rsidR="00F9560D">
        <w:t>a, IEP, 2023)</w:t>
      </w:r>
    </w:p>
    <w:p w14:paraId="6D96437E" w14:textId="47FD7EB9" w:rsidR="00AF0AD9" w:rsidRDefault="00AF0AD9" w:rsidP="00390CE2">
      <w:pPr>
        <w:jc w:val="both"/>
      </w:pPr>
      <w:r>
        <w:t xml:space="preserve">María Elena García. </w:t>
      </w:r>
    </w:p>
    <w:p w14:paraId="2FB29387" w14:textId="7BC5C39F" w:rsidR="00F9560D" w:rsidRDefault="00F9560D" w:rsidP="00390CE2">
      <w:pPr>
        <w:jc w:val="both"/>
      </w:pPr>
      <w:r>
        <w:t>13 de julio, 2023 en El Virrey</w:t>
      </w:r>
    </w:p>
    <w:p w14:paraId="1BA3837E" w14:textId="77777777" w:rsidR="00390CE2" w:rsidRDefault="00390CE2" w:rsidP="00390CE2">
      <w:pPr>
        <w:jc w:val="both"/>
      </w:pPr>
    </w:p>
    <w:p w14:paraId="1A77FF09" w14:textId="2DA12F62" w:rsidR="00F9560D" w:rsidRDefault="00B34944" w:rsidP="00390CE2">
      <w:pPr>
        <w:jc w:val="both"/>
      </w:pPr>
      <w:r>
        <w:t>Por María Eugenia Ulfe</w:t>
      </w:r>
    </w:p>
    <w:p w14:paraId="1719763E" w14:textId="77777777" w:rsidR="00390CE2" w:rsidRDefault="00390CE2" w:rsidP="00390CE2">
      <w:pPr>
        <w:jc w:val="both"/>
      </w:pPr>
      <w:r>
        <w:t>Profesora principal</w:t>
      </w:r>
    </w:p>
    <w:p w14:paraId="5A0D8E61" w14:textId="64CFE88E" w:rsidR="00390CE2" w:rsidRDefault="00390CE2" w:rsidP="00390CE2">
      <w:pPr>
        <w:jc w:val="both"/>
      </w:pPr>
      <w:r>
        <w:t>Departamento de Ciencias Sociales</w:t>
      </w:r>
    </w:p>
    <w:p w14:paraId="2DF987C3" w14:textId="51470BEC" w:rsidR="00390CE2" w:rsidRDefault="00390CE2" w:rsidP="00390CE2">
      <w:pPr>
        <w:jc w:val="both"/>
      </w:pPr>
      <w:r>
        <w:t>Pontificia Universidad Católica del Perú</w:t>
      </w:r>
    </w:p>
    <w:p w14:paraId="2768EE55" w14:textId="77777777" w:rsidR="00F9560D" w:rsidRDefault="00F9560D" w:rsidP="001A0DA3">
      <w:pPr>
        <w:spacing w:line="276" w:lineRule="auto"/>
        <w:jc w:val="both"/>
      </w:pPr>
    </w:p>
    <w:p w14:paraId="2C8AF124" w14:textId="77777777" w:rsidR="00390CE2" w:rsidRDefault="00390CE2" w:rsidP="001A0DA3">
      <w:pPr>
        <w:spacing w:line="276" w:lineRule="auto"/>
        <w:jc w:val="both"/>
      </w:pPr>
    </w:p>
    <w:p w14:paraId="2E500F06" w14:textId="6396D58A" w:rsidR="00464944" w:rsidRDefault="00464944" w:rsidP="001A0DA3">
      <w:pPr>
        <w:spacing w:line="276" w:lineRule="auto"/>
        <w:jc w:val="both"/>
      </w:pPr>
      <w:r>
        <w:t xml:space="preserve">Agradecimientos </w:t>
      </w:r>
    </w:p>
    <w:p w14:paraId="079B793B" w14:textId="77777777" w:rsidR="00464944" w:rsidRDefault="00464944" w:rsidP="001A0DA3">
      <w:pPr>
        <w:spacing w:line="276" w:lineRule="auto"/>
        <w:jc w:val="both"/>
      </w:pPr>
    </w:p>
    <w:p w14:paraId="3A0B6992" w14:textId="0D840609" w:rsidR="008B515D" w:rsidRDefault="00F9560D" w:rsidP="001A0DA3">
      <w:pPr>
        <w:spacing w:line="276" w:lineRule="auto"/>
        <w:jc w:val="both"/>
      </w:pPr>
      <w:r>
        <w:t xml:space="preserve">Este libro también habría podría podido subtitularse </w:t>
      </w:r>
      <w:proofErr w:type="spellStart"/>
      <w:r>
        <w:t>Gastropolítica</w:t>
      </w:r>
      <w:proofErr w:type="spellEnd"/>
      <w:r>
        <w:t xml:space="preserve"> y la irrupción de la gastronomía en la escena política peruana. Es un libro que incomoda, no es celebratorio como el mandato cultural neoliberal señala que debemos serlo con las prácticas culturales destinadas a contribuir con el orgullo nacional. </w:t>
      </w:r>
      <w:r w:rsidR="00011DFA">
        <w:t xml:space="preserve">En un contexto como el que vivimos, salir del canon celebratorio nacional es exponerse a las críticas -la polarización no permite la discusión de ideas, sino que busca el sometimiento de quién dice algo diferente. </w:t>
      </w:r>
    </w:p>
    <w:p w14:paraId="1478BF2F" w14:textId="606D968A" w:rsidR="00011DFA" w:rsidRDefault="008B515D" w:rsidP="001A0DA3">
      <w:pPr>
        <w:spacing w:line="276" w:lineRule="auto"/>
        <w:jc w:val="both"/>
      </w:pPr>
      <w:r>
        <w:br/>
      </w:r>
      <w:proofErr w:type="spellStart"/>
      <w:r>
        <w:t>Gastropolítica</w:t>
      </w:r>
      <w:proofErr w:type="spellEnd"/>
      <w:r>
        <w:t xml:space="preserve"> es un texto académico, una etnografía antropológica que presenta la forma cómo discurso y práctica construyen subjetividades y grandes narrativas de nación. </w:t>
      </w:r>
      <w:r w:rsidR="00011DFA">
        <w:t xml:space="preserve">Mi lectura atenta es desde allí -desde la discusión y debate académico que la autora propone en el texto. </w:t>
      </w:r>
      <w:r w:rsidR="00346CF4">
        <w:t xml:space="preserve">Solo quiero resaltar el uso que hace de la categoría </w:t>
      </w:r>
      <w:proofErr w:type="spellStart"/>
      <w:r w:rsidR="00346CF4">
        <w:t>colonialidad</w:t>
      </w:r>
      <w:proofErr w:type="spellEnd"/>
      <w:r w:rsidR="00346CF4">
        <w:t xml:space="preserve"> que recoge de </w:t>
      </w:r>
      <w:proofErr w:type="spellStart"/>
      <w:r w:rsidR="00346CF4">
        <w:t>colonialidad</w:t>
      </w:r>
      <w:proofErr w:type="spellEnd"/>
      <w:r w:rsidR="00346CF4">
        <w:t xml:space="preserve"> del poder del gran pensador peruano Aníbal Quijano. </w:t>
      </w:r>
    </w:p>
    <w:p w14:paraId="3038E809" w14:textId="008C97F6" w:rsidR="006144AA" w:rsidRDefault="006144AA" w:rsidP="001A0DA3">
      <w:pPr>
        <w:spacing w:line="276" w:lineRule="auto"/>
        <w:jc w:val="both"/>
      </w:pPr>
    </w:p>
    <w:p w14:paraId="3CD8F335" w14:textId="053BD008" w:rsidR="006144AA" w:rsidRDefault="006144AA" w:rsidP="001A0DA3">
      <w:pPr>
        <w:spacing w:line="276" w:lineRule="auto"/>
        <w:jc w:val="both"/>
      </w:pPr>
      <w:r>
        <w:t xml:space="preserve">La autora se detiene a mirar con atención qué es aquello que trae el boom gastronómico, además de platillos y productos alimenticios que ya se usaban en comidas en comunidades campesinas y nativas amazónicas, en caletas de pescadores, en mercados y chinguiritos. Aquí la autora nos introduce en el universo de los relatos que van edificándose desde la comida: el ensalzamiento del mestizaje que fue también utilizado políticamente durante el gobierno de Alejandro Toledo con la famosa frase </w:t>
      </w:r>
      <w:proofErr w:type="spellStart"/>
      <w:r>
        <w:t>arguediana</w:t>
      </w:r>
      <w:proofErr w:type="spellEnd"/>
      <w:r>
        <w:t xml:space="preserve"> de “todas las sangres”. Pero, es importante mirar qué hay detrás. La antropología nos enseña a cuestionar aquello que se cree dado, que se acepta sin debates ni discusiones. </w:t>
      </w:r>
    </w:p>
    <w:p w14:paraId="363D7494" w14:textId="77777777" w:rsidR="006144AA" w:rsidRDefault="006144AA" w:rsidP="001A0DA3">
      <w:pPr>
        <w:spacing w:line="276" w:lineRule="auto"/>
        <w:jc w:val="both"/>
      </w:pPr>
    </w:p>
    <w:p w14:paraId="013AACB5" w14:textId="57FC94CC" w:rsidR="008B515D" w:rsidRDefault="008B515D" w:rsidP="001A0DA3">
      <w:pPr>
        <w:spacing w:line="276" w:lineRule="auto"/>
        <w:jc w:val="both"/>
      </w:pPr>
      <w:r>
        <w:t xml:space="preserve">Una nación que venía de quedar en trizas después de un largo periodo de violencia interna y autoritarismo entre 1980 y el año 2000, que abraza políticas económicas liberales durante la década de 1990 y que requiere recomponerse culturalmente. Encuentra en el auge de la gastronomía algo para sentir “orgullo” que es apropiado y celebrado por élites y medios nacionales hegemónicos. </w:t>
      </w:r>
      <w:r w:rsidR="006144AA">
        <w:t xml:space="preserve">El mestizaje es el viejo mito que oculta relaciones de poder y que esconde la forma cómo operan las desigualdades </w:t>
      </w:r>
      <w:r w:rsidR="006144AA">
        <w:lastRenderedPageBreak/>
        <w:t xml:space="preserve">raciales y de clase. Es también el espacio aspiracional que ha sido utilizado como repositorio para describir la diversidad cultural. Vamos por partes. </w:t>
      </w:r>
    </w:p>
    <w:p w14:paraId="0FC62B1D" w14:textId="77777777" w:rsidR="006144AA" w:rsidRDefault="006144AA" w:rsidP="001A0DA3">
      <w:pPr>
        <w:spacing w:line="276" w:lineRule="auto"/>
        <w:jc w:val="both"/>
      </w:pPr>
    </w:p>
    <w:p w14:paraId="0D84D810" w14:textId="05D8F804" w:rsidR="006176C2" w:rsidRDefault="006144AA" w:rsidP="001A0DA3">
      <w:pPr>
        <w:spacing w:line="276" w:lineRule="auto"/>
        <w:jc w:val="both"/>
      </w:pPr>
      <w:r>
        <w:t>La autora reconstruye el contexto histórico del desarrollo gastronómico nacional. E</w:t>
      </w:r>
      <w:r w:rsidR="006176C2">
        <w:t xml:space="preserve">ste </w:t>
      </w:r>
      <w:r>
        <w:t xml:space="preserve">boom </w:t>
      </w:r>
      <w:r w:rsidR="006176C2">
        <w:t>se dio en paralelo</w:t>
      </w:r>
      <w:r>
        <w:t xml:space="preserve"> con el del </w:t>
      </w:r>
      <w:proofErr w:type="spellStart"/>
      <w:r>
        <w:t>extractivismo</w:t>
      </w:r>
      <w:proofErr w:type="spellEnd"/>
      <w:r>
        <w:t xml:space="preserve"> de materias primas, pero hay un traslapo de temporalidades</w:t>
      </w:r>
      <w:r w:rsidR="006176C2">
        <w:t xml:space="preserve">: </w:t>
      </w:r>
      <w:r w:rsidR="008B515D">
        <w:t xml:space="preserve">una posguerra fallida que no logró conducir a grandes debates sobre derechos y ciudadanía se encontró con encuestas de fiestas patrias que celebraban el “orgullo nacional”. Recuerdo varias de estas encuestas </w:t>
      </w:r>
      <w:r w:rsidR="006176C2">
        <w:t xml:space="preserve">en la primera década del siglo XXI </w:t>
      </w:r>
      <w:r w:rsidR="008B515D">
        <w:t xml:space="preserve">que colocaban como baluarte productos alimenticios y bebidas como grandes logros nacionales y también un abecedario que Plaza San Miguel inundó </w:t>
      </w:r>
      <w:r w:rsidR="006176C2">
        <w:t>l</w:t>
      </w:r>
      <w:r w:rsidR="008B515D">
        <w:t>as avenidas La Marina y Universitaria, donde la</w:t>
      </w:r>
      <w:r w:rsidR="0054315B">
        <w:t xml:space="preserve"> c era por causa, la k era por </w:t>
      </w:r>
      <w:proofErr w:type="spellStart"/>
      <w:r w:rsidR="0054315B">
        <w:t>kiwicha</w:t>
      </w:r>
      <w:proofErr w:type="spellEnd"/>
      <w:r w:rsidR="0054315B">
        <w:t xml:space="preserve"> y la</w:t>
      </w:r>
      <w:r w:rsidR="008B515D">
        <w:t xml:space="preserve"> p era pisco sour</w:t>
      </w:r>
      <w:r w:rsidR="0054315B">
        <w:t xml:space="preserve">.  Atrás y debajo del crecimiento económico, quedaron las discusiones sobre el derramamiento de sangre que </w:t>
      </w:r>
      <w:r w:rsidR="00011DFA">
        <w:t>había</w:t>
      </w:r>
      <w:r w:rsidR="0054315B">
        <w:t xml:space="preserve"> esos años.</w:t>
      </w:r>
    </w:p>
    <w:p w14:paraId="329EDB4A" w14:textId="77777777" w:rsidR="00011DFA" w:rsidRDefault="00011DFA" w:rsidP="001A0DA3">
      <w:pPr>
        <w:spacing w:line="276" w:lineRule="auto"/>
        <w:jc w:val="both"/>
      </w:pPr>
    </w:p>
    <w:p w14:paraId="602D978D" w14:textId="7786EB19" w:rsidR="0054315B" w:rsidRDefault="0054315B" w:rsidP="001A0DA3">
      <w:pPr>
        <w:spacing w:line="276" w:lineRule="auto"/>
        <w:jc w:val="both"/>
      </w:pPr>
      <w:r>
        <w:t xml:space="preserve">Pareciera que una nación destruida por una guerra interna entre </w:t>
      </w:r>
      <w:r w:rsidR="00011DFA">
        <w:t>peruanos</w:t>
      </w:r>
      <w:r>
        <w:t xml:space="preserve"> necesitaba con urgencia recuperar sentidos de identidad. No en vano, en Ayacucho durante este mismo periodo comenzaron a revitalizarse fiestas como la semana santa, artes y lugares para el turismo nacional. De la mano de la gastronomía tenemos el desarrollo del turismo nacional e internacional: la imagen del país, su edificación como “marca país”, sus “embajadores” de marca y todo lo relacionado al empaquetamiento de un producto para el mercado. </w:t>
      </w:r>
      <w:r w:rsidR="00011DFA">
        <w:t xml:space="preserve">Las preguntas que caen por su propio peso son ¿trajo esto desarrollo? ¿construyó ciudadanía? ¿fortaleció la democracia? </w:t>
      </w:r>
    </w:p>
    <w:p w14:paraId="0C569B70" w14:textId="77777777" w:rsidR="008B515D" w:rsidRDefault="008B515D" w:rsidP="001A0DA3">
      <w:pPr>
        <w:spacing w:line="276" w:lineRule="auto"/>
        <w:jc w:val="both"/>
      </w:pPr>
    </w:p>
    <w:p w14:paraId="36EAEE32" w14:textId="7908B825" w:rsidR="006176C2" w:rsidRDefault="006176C2" w:rsidP="001A0DA3">
      <w:pPr>
        <w:spacing w:line="276" w:lineRule="auto"/>
        <w:jc w:val="both"/>
      </w:pPr>
      <w:r>
        <w:t xml:space="preserve">La pandemia mostró el lado “feo” del crecimiento económico: quedamos como el peor país en exceso de muerte. A los muertos dejados por los años de violencia interna, se sumaron los dejados por la pandemia de la Covid-19. El crecimiento económico no trajo equidad, tampoco servicios de salud universal, menos un sistema de educación que pueda destacarse. Al contrario, una de las primeras medidas cuando llegó la pandemia fue precisamente la “suspensión perfecta” -herencia de los 1990, que fue aplicada apenas entramos en cuarentena. Como compensación, el Estado creó un programa para la recuperación económica: Reactiva Perú. Reactiva Perú muestra que los sectores turismo y gastronomía destacan como receptores del apoyo económico. Una nota de El Comercio de junio del </w:t>
      </w:r>
      <w:r w:rsidR="00D20882">
        <w:t>2020</w:t>
      </w:r>
      <w:r>
        <w:t xml:space="preserve"> señala que Acurio restaurantes, NGR del grupo Intercorp y las cadenas rápidas vinculadas a DELOSI recibieron casi 80 millones de soles en total. </w:t>
      </w:r>
    </w:p>
    <w:p w14:paraId="0D6A4559" w14:textId="77777777" w:rsidR="00D20882" w:rsidRDefault="00D20882" w:rsidP="001A0DA3">
      <w:pPr>
        <w:spacing w:line="276" w:lineRule="auto"/>
        <w:jc w:val="both"/>
      </w:pPr>
    </w:p>
    <w:p w14:paraId="49EDC225" w14:textId="1A07D75D" w:rsidR="00D20882" w:rsidRDefault="00D20882" w:rsidP="001A0DA3">
      <w:pPr>
        <w:spacing w:line="276" w:lineRule="auto"/>
        <w:jc w:val="both"/>
      </w:pPr>
      <w:r>
        <w:t xml:space="preserve">¿Dónde quedó “el todos somos iguales”? </w:t>
      </w:r>
    </w:p>
    <w:p w14:paraId="0E1A7C83" w14:textId="77777777" w:rsidR="00D20882" w:rsidRDefault="00D20882" w:rsidP="001A0DA3">
      <w:pPr>
        <w:spacing w:line="276" w:lineRule="auto"/>
        <w:jc w:val="both"/>
      </w:pPr>
    </w:p>
    <w:p w14:paraId="4FB5B825" w14:textId="1F7D741F" w:rsidR="00F9560D" w:rsidRDefault="00D20882" w:rsidP="001A0DA3">
      <w:pPr>
        <w:spacing w:line="276" w:lineRule="auto"/>
        <w:jc w:val="both"/>
      </w:pPr>
      <w:r>
        <w:t xml:space="preserve">El terreno sobre el cual se asienta la discusión propuesta en el libro para asentarse en una vieja fórmula: Incas, sí, indios, no, de la historiadora Cecilia Méndez. Este parece ser el telón de fondo del desarrollo de la gastronomía y uno de sus ejemplos está en el capítulo dedicado al señor Martínez y sus empresas asentadas en el Valle en Cusco. </w:t>
      </w:r>
      <w:r>
        <w:lastRenderedPageBreak/>
        <w:t xml:space="preserve">¿Cuáles son las dinámicas con las comunidades donde está </w:t>
      </w:r>
      <w:r w:rsidR="00D701FA">
        <w:t xml:space="preserve">Mil, descrito como restaurante y centro de investigación gastronómica? Es interesante cómo del mestizaje, se pasa a un discurso que une nociones de “autenticidad” (podríamos rescatar el trabajo de </w:t>
      </w:r>
      <w:proofErr w:type="spellStart"/>
      <w:r w:rsidR="00D701FA">
        <w:t>MacCannell</w:t>
      </w:r>
      <w:proofErr w:type="spellEnd"/>
      <w:r w:rsidR="00D701FA">
        <w:t xml:space="preserve"> para problematizar que la autenticidad siempre es una creación y que esta puede ser representada), nociones de “</w:t>
      </w:r>
      <w:proofErr w:type="spellStart"/>
      <w:r w:rsidR="00D701FA">
        <w:t>indigeneidad</w:t>
      </w:r>
      <w:proofErr w:type="spellEnd"/>
      <w:r w:rsidR="00D701FA">
        <w:t xml:space="preserve">” (el indio permitido es el indio sometido, no el indio que no está de acuerdo o que sea recuperar sus derechos), y la biología como ciencia. </w:t>
      </w:r>
      <w:r w:rsidR="009E09CC">
        <w:t xml:space="preserve">Me parece sugerente que haya leído a Murra para comprender sobre verticalidad andina y sistema de pisos </w:t>
      </w:r>
      <w:r w:rsidR="00B8585F">
        <w:t>ecológicos,</w:t>
      </w:r>
      <w:r w:rsidR="009E09CC">
        <w:t xml:space="preserve"> pero, así como </w:t>
      </w:r>
      <w:r w:rsidR="00AF084B">
        <w:t xml:space="preserve">hay quienes critica a la autora por ser peruana del Quinto suyo (ese mismo que reclaman sus votos en cada elección), habría que decir que además de </w:t>
      </w:r>
      <w:r w:rsidR="009E09CC">
        <w:t>Murra, bien pudo leer autores nacionales que además de pisos ecológicos describen la forma cómo desde los 1990 hay procesos de acumulación de tierras, apropiaciones de saberes y conocimientos locales. Hay un vasto conocimiento local y nacional sobre seguridad alimentaria, control de pisos ecológicos</w:t>
      </w:r>
      <w:r w:rsidR="00B8585F">
        <w:t>, gobernanza indígena, territorios</w:t>
      </w:r>
      <w:r w:rsidR="009E09CC">
        <w:t xml:space="preserve"> y también conflictos. </w:t>
      </w:r>
      <w:r w:rsidR="00EF73A2">
        <w:t xml:space="preserve">Moviéndose en el terreno del </w:t>
      </w:r>
      <w:proofErr w:type="spellStart"/>
      <w:r w:rsidR="00EF73A2">
        <w:t>extractivismo</w:t>
      </w:r>
      <w:proofErr w:type="spellEnd"/>
      <w:r w:rsidR="00EF73A2">
        <w:t xml:space="preserve">, a Mil requiere su agente de relaciones comunitarias. No pueden consultar con las y los comuneros de las comunidades vecinas donde se asienta su proyecto. ¿Por qué requieren estas instancias “si todos somos iguales”? ¿O, quizás será porque hay quienes son vistos como productos de mercado que necesitan engalanarse para colocarse en venta? </w:t>
      </w:r>
    </w:p>
    <w:p w14:paraId="4DCAAD14" w14:textId="77777777" w:rsidR="00AF084B" w:rsidRDefault="00AF084B" w:rsidP="001A0DA3">
      <w:pPr>
        <w:spacing w:line="276" w:lineRule="auto"/>
        <w:jc w:val="both"/>
      </w:pPr>
    </w:p>
    <w:p w14:paraId="14CCA68F" w14:textId="77777777" w:rsidR="00AF084B" w:rsidRDefault="00AF084B" w:rsidP="00AF084B">
      <w:pPr>
        <w:spacing w:line="276" w:lineRule="auto"/>
        <w:jc w:val="both"/>
      </w:pPr>
      <w:r>
        <w:t xml:space="preserve">El boom gastronómico tiene también sus otros correlatos. La forma cómo ciertos productos se volvieron inaccesibles para quiénes los cultivan y vivían de estos. Un ejemplo es la quinua. Recuerdo en el mercado central de Huamanga, señoras quejándose porque el kilo había subido demasiado de precio y les era inaccesible. El año pasado, María Fernanda Vivanco presentó su tesis doctoral sobre la maca. El mayor productor de maca no es ya el Perú, sino China, que exporta, vende, y hasta tiene las patentes del producto. Las apropiaciones culturales se dan como olas y pasan por diferentes niveles, unas serán nacionales, otras serán de fuera, abajo y detrás quedan los propios agricultores. </w:t>
      </w:r>
    </w:p>
    <w:p w14:paraId="2E3F33B9" w14:textId="77777777" w:rsidR="001A0DA3" w:rsidRDefault="001A0DA3" w:rsidP="001A0DA3">
      <w:pPr>
        <w:spacing w:line="276" w:lineRule="auto"/>
        <w:jc w:val="both"/>
      </w:pPr>
    </w:p>
    <w:p w14:paraId="2EA9C3C6" w14:textId="7FA76375" w:rsidR="0056254D" w:rsidRDefault="00B8585F">
      <w:pPr>
        <w:spacing w:line="276" w:lineRule="auto"/>
        <w:jc w:val="both"/>
      </w:pPr>
      <w:r>
        <w:t>Es precisamente en estos intersticios y paradojas que se abre la investigación de María Elena García. Ella recoge esas contradicciones de cosas no dichas o dichas a medias, de lo que invisibilizan, de esas relaciones de poder que esconden relaciones de dominación y de las cuales el desarrollo de</w:t>
      </w:r>
      <w:r w:rsidR="00AF084B">
        <w:t xml:space="preserve"> este</w:t>
      </w:r>
      <w:r>
        <w:t xml:space="preserve"> boom es parte.</w:t>
      </w:r>
      <w:r w:rsidR="00AF084B">
        <w:t xml:space="preserve"> Una dimensión que particularmente me parece interesante del libro es la injerencia que pueden tener en la aprobación de leyes particulares para el desarrollo de estas empresas -podemos extender desde las agroindustrias hasta el que restaurantes sean de los primeros espacios que abrieran en pandemia, antes incluso que escuelas y universidades. Comer rico es un placer. Tener todos para comer algo cada día, es un derecho. Hay una diferencia en énfasis y usos del verbo. Así cuando en el documental de </w:t>
      </w:r>
      <w:proofErr w:type="spellStart"/>
      <w:r w:rsidR="00AF084B">
        <w:t>Peru</w:t>
      </w:r>
      <w:proofErr w:type="spellEnd"/>
      <w:r w:rsidR="00390CE2">
        <w:t>-</w:t>
      </w:r>
      <w:r w:rsidR="00AF084B">
        <w:t xml:space="preserve">Nebraska nos presentan “nuestros” nuevos derechos, comer aparece con el calificativo de “rico”, pero también puede leerse como </w:t>
      </w:r>
      <w:r w:rsidR="00AF084B">
        <w:lastRenderedPageBreak/>
        <w:t>una imposición de gustos y sabores sobre otros. No es que los “peruanos” en Nebraska no sepan comer, sino que comen otras comidas. Y ahí llega el bus rojo a imponer sus sabores. El documental es también una mirada sobre cómo ha funcionado el boom</w:t>
      </w:r>
      <w:r w:rsidR="00464944">
        <w:t xml:space="preserve"> y dónde queda la diversidad de la cual se enaltece y utiliza. Si se dan cuenta, no hay </w:t>
      </w:r>
      <w:r w:rsidR="00EE2ED2">
        <w:t xml:space="preserve">mucho </w:t>
      </w:r>
      <w:r w:rsidR="00464944">
        <w:t>respeto por esa diversidad</w:t>
      </w:r>
      <w:r w:rsidR="00EE2ED2">
        <w:t xml:space="preserve"> que se predica,</w:t>
      </w:r>
      <w:r w:rsidR="00464944">
        <w:t xml:space="preserve"> sino</w:t>
      </w:r>
      <w:r w:rsidR="00EE2ED2">
        <w:t>, que a través de las acciones buscan que reemplacen</w:t>
      </w:r>
      <w:r w:rsidR="00464944">
        <w:t xml:space="preserve"> su comida por esta otra. Es una acción bastante vertical en sí misma y de eso es precisamente de lo que trata el libro.  </w:t>
      </w:r>
    </w:p>
    <w:p w14:paraId="3C4E7DC0" w14:textId="77777777" w:rsidR="0056254D" w:rsidRDefault="0056254D">
      <w:pPr>
        <w:spacing w:line="276" w:lineRule="auto"/>
        <w:jc w:val="both"/>
      </w:pPr>
    </w:p>
    <w:p w14:paraId="1A086E4D" w14:textId="41C84D69" w:rsidR="00464944" w:rsidRDefault="00464944">
      <w:pPr>
        <w:spacing w:line="276" w:lineRule="auto"/>
        <w:jc w:val="both"/>
      </w:pPr>
      <w:r>
        <w:t xml:space="preserve">Muchas gracias. </w:t>
      </w:r>
    </w:p>
    <w:sectPr w:rsidR="00464944" w:rsidSect="005E355C">
      <w:footerReference w:type="even" r:id="rId7"/>
      <w:footerReference w:type="default" r:id="rId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3AF3A" w14:textId="77777777" w:rsidR="00C847F8" w:rsidRDefault="00C847F8" w:rsidP="001A0DA3">
      <w:r>
        <w:separator/>
      </w:r>
    </w:p>
  </w:endnote>
  <w:endnote w:type="continuationSeparator" w:id="0">
    <w:p w14:paraId="7879FEBC" w14:textId="77777777" w:rsidR="00C847F8" w:rsidRDefault="00C847F8" w:rsidP="001A0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46949040"/>
      <w:docPartObj>
        <w:docPartGallery w:val="Page Numbers (Bottom of Page)"/>
        <w:docPartUnique/>
      </w:docPartObj>
    </w:sdtPr>
    <w:sdtContent>
      <w:p w14:paraId="485FEB6C" w14:textId="3E94FD7F" w:rsidR="001A0DA3" w:rsidRDefault="001A0DA3" w:rsidP="00DE5B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327283" w14:textId="77777777" w:rsidR="001A0DA3" w:rsidRDefault="001A0DA3" w:rsidP="001A0DA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812938978"/>
      <w:docPartObj>
        <w:docPartGallery w:val="Page Numbers (Bottom of Page)"/>
        <w:docPartUnique/>
      </w:docPartObj>
    </w:sdtPr>
    <w:sdtContent>
      <w:p w14:paraId="7BF7987C" w14:textId="04A56534" w:rsidR="001A0DA3" w:rsidRDefault="001A0DA3" w:rsidP="00DE5B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2FD43B67" w14:textId="77777777" w:rsidR="001A0DA3" w:rsidRDefault="001A0DA3" w:rsidP="001A0DA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E0345" w14:textId="77777777" w:rsidR="00C847F8" w:rsidRDefault="00C847F8" w:rsidP="001A0DA3">
      <w:r>
        <w:separator/>
      </w:r>
    </w:p>
  </w:footnote>
  <w:footnote w:type="continuationSeparator" w:id="0">
    <w:p w14:paraId="25938210" w14:textId="77777777" w:rsidR="00C847F8" w:rsidRDefault="00C847F8" w:rsidP="001A0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92C3B"/>
    <w:multiLevelType w:val="hybridMultilevel"/>
    <w:tmpl w:val="8E061A76"/>
    <w:lvl w:ilvl="0" w:tplc="54FC9B54">
      <w:start w:val="13"/>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07923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AD9"/>
    <w:rsid w:val="00011DFA"/>
    <w:rsid w:val="001A0DA3"/>
    <w:rsid w:val="00247F39"/>
    <w:rsid w:val="002739FB"/>
    <w:rsid w:val="002A4657"/>
    <w:rsid w:val="00346CF4"/>
    <w:rsid w:val="00390CE2"/>
    <w:rsid w:val="00464944"/>
    <w:rsid w:val="0054315B"/>
    <w:rsid w:val="0056254D"/>
    <w:rsid w:val="005E355C"/>
    <w:rsid w:val="006144AA"/>
    <w:rsid w:val="006176C2"/>
    <w:rsid w:val="006551E5"/>
    <w:rsid w:val="00693FC6"/>
    <w:rsid w:val="008B515D"/>
    <w:rsid w:val="009E09CC"/>
    <w:rsid w:val="00AF084B"/>
    <w:rsid w:val="00AF0AD9"/>
    <w:rsid w:val="00B13E41"/>
    <w:rsid w:val="00B34944"/>
    <w:rsid w:val="00B8585F"/>
    <w:rsid w:val="00C26064"/>
    <w:rsid w:val="00C847F8"/>
    <w:rsid w:val="00CD3204"/>
    <w:rsid w:val="00D20882"/>
    <w:rsid w:val="00D227D4"/>
    <w:rsid w:val="00D701FA"/>
    <w:rsid w:val="00EE2ED2"/>
    <w:rsid w:val="00EF73A2"/>
    <w:rsid w:val="00F9560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46BA2E72"/>
  <w14:defaultImageDpi w14:val="32767"/>
  <w15:chartTrackingRefBased/>
  <w15:docId w15:val="{B95F912A-4F72-D54F-955C-BB1CDEC4C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9560D"/>
    <w:pPr>
      <w:ind w:left="720"/>
      <w:contextualSpacing/>
    </w:pPr>
  </w:style>
  <w:style w:type="paragraph" w:styleId="Piedepgina">
    <w:name w:val="footer"/>
    <w:basedOn w:val="Normal"/>
    <w:link w:val="PiedepginaCar"/>
    <w:uiPriority w:val="99"/>
    <w:unhideWhenUsed/>
    <w:rsid w:val="001A0DA3"/>
    <w:pPr>
      <w:tabs>
        <w:tab w:val="center" w:pos="4419"/>
        <w:tab w:val="right" w:pos="8838"/>
      </w:tabs>
    </w:pPr>
  </w:style>
  <w:style w:type="character" w:customStyle="1" w:styleId="PiedepginaCar">
    <w:name w:val="Pie de página Car"/>
    <w:basedOn w:val="Fuentedeprrafopredeter"/>
    <w:link w:val="Piedepgina"/>
    <w:uiPriority w:val="99"/>
    <w:rsid w:val="001A0DA3"/>
  </w:style>
  <w:style w:type="character" w:styleId="Nmerodepgina">
    <w:name w:val="page number"/>
    <w:basedOn w:val="Fuentedeprrafopredeter"/>
    <w:uiPriority w:val="99"/>
    <w:semiHidden/>
    <w:unhideWhenUsed/>
    <w:rsid w:val="001A0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4</Pages>
  <Words>1401</Words>
  <Characters>7707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eugenia ulfe</dc:creator>
  <cp:keywords/>
  <dc:description/>
  <cp:lastModifiedBy>maria eugenia ulfe</cp:lastModifiedBy>
  <cp:revision>24</cp:revision>
  <dcterms:created xsi:type="dcterms:W3CDTF">2023-07-13T14:58:00Z</dcterms:created>
  <dcterms:modified xsi:type="dcterms:W3CDTF">2023-07-15T14:38:00Z</dcterms:modified>
</cp:coreProperties>
</file>